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F90EB7" w:rsidRPr="009A3E78" w:rsidRDefault="009A3E78" w:rsidP="009A3E78">
      <w:pPr>
        <w:rPr>
          <w:b/>
          <w:bCs/>
          <w:color w:val="5B9BD5"/>
          <w:sz w:val="18"/>
          <w:szCs w:val="18"/>
        </w:rPr>
      </w:pPr>
      <w:r w:rsidRPr="009A3E78">
        <w:rPr>
          <w:noProof/>
          <w:sz w:val="18"/>
          <w:szCs w:val="1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4.5pt;height:63pt">
            <v:imagedata r:id="rId7" o:title="Logo black horizontal"/>
          </v:shape>
        </w:pict>
      </w:r>
      <w:r w:rsidR="005F589D" w:rsidRPr="009A3E78">
        <w:rPr>
          <w:b/>
          <w:bCs/>
          <w:color w:val="5B9BD5"/>
          <w:sz w:val="18"/>
          <w:szCs w:val="18"/>
        </w:rPr>
        <w:t>Росреестр разъясняет</w:t>
      </w:r>
    </w:p>
    <w:p w:rsidR="005B0CED" w:rsidRPr="009A3E78" w:rsidRDefault="005F589D" w:rsidP="009A3E78">
      <w:pPr>
        <w:ind w:firstLine="851"/>
        <w:jc w:val="center"/>
        <w:rPr>
          <w:b/>
          <w:sz w:val="18"/>
          <w:szCs w:val="18"/>
        </w:rPr>
      </w:pPr>
      <w:r w:rsidRPr="009A3E78">
        <w:rPr>
          <w:b/>
          <w:sz w:val="18"/>
          <w:szCs w:val="18"/>
        </w:rPr>
        <w:t>29 мая новосибирский Росреестр провел «горячую» телефонную линию по вопросам использования земельных участков</w:t>
      </w:r>
    </w:p>
    <w:p w:rsidR="005F589D" w:rsidRPr="009A3E78" w:rsidRDefault="005F589D"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В городе Новосибирске и районах области прошла «горячая» телефонная линия по вопросам изменений в законодательство об использовании земельных участков.</w:t>
      </w:r>
    </w:p>
    <w:p w:rsidR="005F589D" w:rsidRPr="009A3E78" w:rsidRDefault="005F589D"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На номера «горячих» линий поступило около 15 звонков, специалисты аппарата Управления Росреестра по Новосибирской области и его территориальных отделов ответили на вопросы жителей региона. Граждан интересовали порядок подачи юридическими лицами документов в электронном виде, изъятие земельных участков в связи с их неиспользованием.</w:t>
      </w:r>
    </w:p>
    <w:p w:rsidR="005F589D" w:rsidRPr="009A3E78" w:rsidRDefault="005F589D"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Публикуем ответы на некоторые поступившие в ходе телефонной линии вопросы.</w:t>
      </w:r>
    </w:p>
    <w:p w:rsidR="005F589D" w:rsidRPr="009A3E78" w:rsidRDefault="005F589D" w:rsidP="009A3E78">
      <w:pPr>
        <w:pStyle w:val="Standard"/>
        <w:ind w:firstLine="709"/>
        <w:jc w:val="both"/>
        <w:rPr>
          <w:rFonts w:ascii="Times New Roman" w:eastAsia="Times New Roman" w:hAnsi="Times New Roman" w:cs="Times New Roman"/>
          <w:b/>
          <w:i/>
          <w:color w:val="auto"/>
          <w:sz w:val="18"/>
          <w:szCs w:val="18"/>
          <w:lang w:eastAsia="ru-RU" w:bidi="ar-SA"/>
        </w:rPr>
      </w:pPr>
      <w:r w:rsidRPr="009A3E78">
        <w:rPr>
          <w:rFonts w:ascii="Times New Roman" w:eastAsia="Times New Roman" w:hAnsi="Times New Roman" w:cs="Times New Roman"/>
          <w:b/>
          <w:i/>
          <w:color w:val="auto"/>
          <w:sz w:val="18"/>
          <w:szCs w:val="18"/>
          <w:lang w:eastAsia="ru-RU" w:bidi="ar-SA"/>
        </w:rPr>
        <w:t>С какого момента начинает идти срок для освоения садовых земельных участков и какие меры нужно предпринять для их освоения?</w:t>
      </w:r>
    </w:p>
    <w:p w:rsidR="005F589D" w:rsidRPr="009A3E78" w:rsidRDefault="005F589D"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По земельным участкам, которые уже находятся в собственности, срок исчисляется с 1 марта 2025 года. Другие правообладатели земельных участков приступают к их использованию с момента оформления права собственности.</w:t>
      </w:r>
    </w:p>
    <w:p w:rsidR="005F589D" w:rsidRPr="009A3E78" w:rsidRDefault="005F589D"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 xml:space="preserve">Основными мероприятиями, направленными на освоение земельных участков, являются освобождение земельного участка от деревьев </w:t>
      </w:r>
    </w:p>
    <w:p w:rsidR="005F589D" w:rsidRPr="009A3E78" w:rsidRDefault="005F589D"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и кустарников, мешающих его использованию, от сорных растений, отходов производства и потребления, проведение работ по осушению либо увлажнению участка и другие.</w:t>
      </w:r>
    </w:p>
    <w:p w:rsidR="005F589D" w:rsidRPr="009A3E78" w:rsidRDefault="005F589D" w:rsidP="009A3E78">
      <w:pPr>
        <w:pStyle w:val="Standard"/>
        <w:ind w:firstLine="709"/>
        <w:jc w:val="both"/>
        <w:rPr>
          <w:rFonts w:ascii="Times New Roman" w:eastAsia="Times New Roman" w:hAnsi="Times New Roman" w:cs="Times New Roman"/>
          <w:b/>
          <w:i/>
          <w:color w:val="auto"/>
          <w:sz w:val="18"/>
          <w:szCs w:val="18"/>
          <w:lang w:eastAsia="ru-RU" w:bidi="ar-SA"/>
        </w:rPr>
      </w:pPr>
      <w:r w:rsidRPr="009A3E78">
        <w:rPr>
          <w:rFonts w:ascii="Times New Roman" w:eastAsia="Times New Roman" w:hAnsi="Times New Roman" w:cs="Times New Roman"/>
          <w:b/>
          <w:i/>
          <w:color w:val="auto"/>
          <w:sz w:val="18"/>
          <w:szCs w:val="18"/>
          <w:lang w:eastAsia="ru-RU" w:bidi="ar-SA"/>
        </w:rPr>
        <w:t>Можно ли на земельном участке, предназначенном для индивидуального жилищного строительства, отрыть автосервис?</w:t>
      </w:r>
    </w:p>
    <w:p w:rsidR="005F589D" w:rsidRPr="009A3E78" w:rsidRDefault="005F589D"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Осуществление на земельном участке с видом разрешенного использования «индивидуальное жилищное строительство» предпринимательской деятельности по ремонту, сбору, заправке или мойке автомобилей – это нецелевое использование земельного участка и является нарушением земельного законодательства. За данное правонарушение предусмотрена административная ответственность (статья 8.8. КоАП РФ).</w:t>
      </w:r>
    </w:p>
    <w:p w:rsidR="005F589D" w:rsidRPr="009A3E78" w:rsidRDefault="005F589D"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В случае обнаружения такого нарушения вы можете направить письменное обращение в новосибирский Росреестр:</w:t>
      </w:r>
    </w:p>
    <w:p w:rsidR="005F589D" w:rsidRPr="009A3E78" w:rsidRDefault="005F589D"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w:t>
      </w:r>
      <w:r w:rsidRPr="009A3E78">
        <w:rPr>
          <w:rFonts w:ascii="Times New Roman" w:eastAsia="Times New Roman" w:hAnsi="Times New Roman" w:cs="Times New Roman"/>
          <w:color w:val="auto"/>
          <w:sz w:val="18"/>
          <w:szCs w:val="18"/>
          <w:lang w:eastAsia="ru-RU" w:bidi="ar-SA"/>
        </w:rPr>
        <w:tab/>
        <w:t>по почте: ул. Державина, 28, г. Новосибирск, 630099</w:t>
      </w:r>
    </w:p>
    <w:p w:rsidR="005F589D" w:rsidRPr="009A3E78" w:rsidRDefault="005F589D"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w:t>
      </w:r>
      <w:r w:rsidRPr="009A3E78">
        <w:rPr>
          <w:rFonts w:ascii="Times New Roman" w:eastAsia="Times New Roman" w:hAnsi="Times New Roman" w:cs="Times New Roman"/>
          <w:color w:val="auto"/>
          <w:sz w:val="18"/>
          <w:szCs w:val="18"/>
          <w:lang w:eastAsia="ru-RU" w:bidi="ar-SA"/>
        </w:rPr>
        <w:tab/>
        <w:t xml:space="preserve">заполнить специальную форму на сайте Росреестра rosreestr.gov.ru </w:t>
      </w:r>
    </w:p>
    <w:p w:rsidR="005F589D" w:rsidRPr="009A3E78" w:rsidRDefault="005F589D"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в разделе «Услуги и Сервисы» - «Сервисы»-«Обращения граждан»</w:t>
      </w:r>
    </w:p>
    <w:p w:rsidR="001258AC" w:rsidRPr="009A3E78" w:rsidRDefault="005F589D" w:rsidP="009A3E78">
      <w:pPr>
        <w:pStyle w:val="Standard"/>
        <w:ind w:firstLine="709"/>
        <w:jc w:val="both"/>
        <w:rPr>
          <w:rFonts w:ascii="Times New Roman" w:hAnsi="Times New Roman" w:cs="Times New Roman"/>
          <w:sz w:val="18"/>
          <w:szCs w:val="18"/>
        </w:rPr>
      </w:pPr>
      <w:r w:rsidRPr="009A3E78">
        <w:rPr>
          <w:rFonts w:ascii="Times New Roman" w:eastAsia="Times New Roman" w:hAnsi="Times New Roman" w:cs="Times New Roman"/>
          <w:color w:val="auto"/>
          <w:sz w:val="18"/>
          <w:szCs w:val="18"/>
          <w:lang w:eastAsia="ru-RU" w:bidi="ar-SA"/>
        </w:rPr>
        <w:t>–</w:t>
      </w:r>
      <w:r w:rsidRPr="009A3E78">
        <w:rPr>
          <w:rFonts w:ascii="Times New Roman" w:eastAsia="Times New Roman" w:hAnsi="Times New Roman" w:cs="Times New Roman"/>
          <w:color w:val="auto"/>
          <w:sz w:val="18"/>
          <w:szCs w:val="18"/>
          <w:lang w:eastAsia="ru-RU" w:bidi="ar-SA"/>
        </w:rPr>
        <w:tab/>
        <w:t>в любом офисе МФЦ.</w:t>
      </w:r>
    </w:p>
    <w:p w:rsidR="00E43F8E" w:rsidRPr="009A3E78" w:rsidRDefault="00E43F8E" w:rsidP="009A3E78">
      <w:pPr>
        <w:ind w:firstLine="851"/>
        <w:jc w:val="center"/>
        <w:rPr>
          <w:b/>
          <w:sz w:val="18"/>
          <w:szCs w:val="18"/>
        </w:rPr>
      </w:pPr>
      <w:r w:rsidRPr="009A3E78">
        <w:rPr>
          <w:b/>
          <w:sz w:val="18"/>
          <w:szCs w:val="18"/>
        </w:rPr>
        <w:t xml:space="preserve">Новосибирский Росреестр провел горячую линию, </w:t>
      </w:r>
    </w:p>
    <w:p w:rsidR="00E43F8E" w:rsidRPr="009A3E78" w:rsidRDefault="00E43F8E" w:rsidP="009A3E78">
      <w:pPr>
        <w:ind w:firstLine="851"/>
        <w:jc w:val="center"/>
        <w:rPr>
          <w:b/>
          <w:sz w:val="18"/>
          <w:szCs w:val="18"/>
        </w:rPr>
      </w:pPr>
      <w:r w:rsidRPr="009A3E78">
        <w:rPr>
          <w:b/>
          <w:sz w:val="18"/>
          <w:szCs w:val="18"/>
        </w:rPr>
        <w:t>приуроченную ко Дню защиты детей</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 xml:space="preserve">В понедельник, 2 июня 2025 года, в Управлении Росреестра по Новосибирской области проведена «горячая» телефонная линия по вопросам сделок с недвижимостью с участием несовершеннолетних. </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В ходе «горячей» линии даны ответы на следующие вопросы.</w:t>
      </w:r>
    </w:p>
    <w:p w:rsidR="00E43F8E" w:rsidRPr="009A3E78" w:rsidRDefault="00E43F8E" w:rsidP="009A3E78">
      <w:pPr>
        <w:pStyle w:val="Standard"/>
        <w:ind w:firstLine="709"/>
        <w:jc w:val="both"/>
        <w:rPr>
          <w:rFonts w:ascii="Times New Roman" w:eastAsia="Times New Roman" w:hAnsi="Times New Roman" w:cs="Times New Roman"/>
          <w:b/>
          <w:color w:val="auto"/>
          <w:sz w:val="18"/>
          <w:szCs w:val="18"/>
          <w:lang w:eastAsia="ru-RU" w:bidi="ar-SA"/>
        </w:rPr>
      </w:pPr>
      <w:r w:rsidRPr="009A3E78">
        <w:rPr>
          <w:rFonts w:ascii="Times New Roman" w:eastAsia="Times New Roman" w:hAnsi="Times New Roman" w:cs="Times New Roman"/>
          <w:b/>
          <w:color w:val="auto"/>
          <w:sz w:val="18"/>
          <w:szCs w:val="18"/>
          <w:lang w:eastAsia="ru-RU" w:bidi="ar-SA"/>
        </w:rPr>
        <w:t>Несовершеннолетнему ребенку необходимо вступить в наследство. Какие существуют особенности?</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От имени несовершеннолетних граждан, которые еще не достигли 14 лет, наследство принимают их родители, усыновители или опекуны. Дети в возрасте от 14 до 18 лет принимают наследство с письменного согласия своих законных представителей - родителей, усыновителей или попечителя. Для принятия наследства несовершеннолетним предварительное разрешение органов опеки и попечительства не требуется.</w:t>
      </w:r>
    </w:p>
    <w:p w:rsidR="00E43F8E" w:rsidRPr="009A3E78" w:rsidRDefault="00E43F8E" w:rsidP="009A3E78">
      <w:pPr>
        <w:pStyle w:val="Standard"/>
        <w:ind w:firstLine="709"/>
        <w:jc w:val="both"/>
        <w:rPr>
          <w:rFonts w:ascii="Times New Roman" w:eastAsia="Times New Roman" w:hAnsi="Times New Roman" w:cs="Times New Roman"/>
          <w:b/>
          <w:color w:val="auto"/>
          <w:sz w:val="18"/>
          <w:szCs w:val="18"/>
          <w:lang w:eastAsia="ru-RU" w:bidi="ar-SA"/>
        </w:rPr>
      </w:pPr>
      <w:r w:rsidRPr="009A3E78">
        <w:rPr>
          <w:rFonts w:ascii="Times New Roman" w:eastAsia="Times New Roman" w:hAnsi="Times New Roman" w:cs="Times New Roman"/>
          <w:b/>
          <w:color w:val="auto"/>
          <w:sz w:val="18"/>
          <w:szCs w:val="18"/>
          <w:lang w:eastAsia="ru-RU" w:bidi="ar-SA"/>
        </w:rPr>
        <w:t>Ребенок является одним из собственников квартиры, которую необходимо продать для улучшения жилищных условий семьи. Что нужно для того, чтобы сделка состоялась?</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Сделка по продаже квартиры, одним из собственников которой является несовершеннолетний, подлежит обязательному нотариальному удостоверению, независимо от возраста несовершеннолетнего.</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При отчуждении имущества несовершеннолетнего требуется получение разрешения органа опеки и попечительства, оно выдается при условии одновременного приобретения на имя несовершеннолетнего равноценной или большей жилой площади, либо иных условий, которые определит данный орган.</w:t>
      </w:r>
    </w:p>
    <w:p w:rsidR="00E43F8E" w:rsidRPr="009A3E78" w:rsidRDefault="00E43F8E" w:rsidP="009A3E78">
      <w:pPr>
        <w:pStyle w:val="Standard"/>
        <w:jc w:val="center"/>
        <w:rPr>
          <w:rFonts w:ascii="Times New Roman" w:eastAsia="Times New Roman" w:hAnsi="Times New Roman" w:cs="Times New Roman"/>
          <w:b/>
          <w:color w:val="auto"/>
          <w:sz w:val="18"/>
          <w:szCs w:val="18"/>
          <w:lang w:eastAsia="ru-RU" w:bidi="ar-SA"/>
        </w:rPr>
      </w:pPr>
      <w:r w:rsidRPr="009A3E78">
        <w:rPr>
          <w:rFonts w:ascii="Times New Roman" w:eastAsia="Times New Roman" w:hAnsi="Times New Roman" w:cs="Times New Roman"/>
          <w:b/>
          <w:color w:val="auto"/>
          <w:sz w:val="18"/>
          <w:szCs w:val="18"/>
          <w:lang w:eastAsia="ru-RU" w:bidi="ar-SA"/>
        </w:rPr>
        <w:t>Оплатить услуги новосибирского Росреестра</w:t>
      </w:r>
    </w:p>
    <w:p w:rsidR="00E43F8E" w:rsidRPr="009A3E78" w:rsidRDefault="00E43F8E" w:rsidP="009A3E78">
      <w:pPr>
        <w:pStyle w:val="Standard"/>
        <w:jc w:val="center"/>
        <w:rPr>
          <w:rFonts w:ascii="Times New Roman" w:eastAsia="Times New Roman" w:hAnsi="Times New Roman" w:cs="Times New Roman"/>
          <w:b/>
          <w:color w:val="auto"/>
          <w:sz w:val="18"/>
          <w:szCs w:val="18"/>
          <w:lang w:eastAsia="ru-RU" w:bidi="ar-SA"/>
        </w:rPr>
      </w:pPr>
      <w:r w:rsidRPr="009A3E78">
        <w:rPr>
          <w:rFonts w:ascii="Times New Roman" w:eastAsia="Times New Roman" w:hAnsi="Times New Roman" w:cs="Times New Roman"/>
          <w:b/>
          <w:color w:val="auto"/>
          <w:sz w:val="18"/>
          <w:szCs w:val="18"/>
          <w:lang w:eastAsia="ru-RU" w:bidi="ar-SA"/>
        </w:rPr>
        <w:t>можно по УИН</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Управление Росреестра по Новосибирской области информирует                      о преимуществах оплаты государственных услуг Росреестра по уникальному идентификатору начисления (УИН).</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УИН – это код, состоящий из двадцати цифр, который формируется              в отношении каждой услуги (кадастровый учет объекта недвижимости и / или государственная регистрация прав или сделок) и необходим для идентификации платежа и получения Росреестром подтверждения факта оплаты государственной пошлины за конкретную государственную услугу в отношении конкретного объекта недвижимости.</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i/>
          <w:color w:val="auto"/>
          <w:sz w:val="18"/>
          <w:szCs w:val="18"/>
          <w:lang w:eastAsia="ru-RU" w:bidi="ar-SA"/>
        </w:rPr>
        <w:t>«Оплата госпошлины за регистрацию прав или сделок, за постановку объекта на кадастровый учет по УИН избавит юридических лиц от дополнительных уточнений, в частности, в отношении каких объектов недвижимости осуществлена оплата. А для граждан такая оплата исключит неверно оплаченные суммы, за возвратом которых необходимо дополнительно обращаться с заявлением, запрашивать выписки из банка и тратить свое личное время на решение этого вопроса»</w:t>
      </w:r>
      <w:r w:rsidRPr="009A3E78">
        <w:rPr>
          <w:rFonts w:ascii="Times New Roman" w:eastAsia="Times New Roman" w:hAnsi="Times New Roman" w:cs="Times New Roman"/>
          <w:color w:val="auto"/>
          <w:sz w:val="18"/>
          <w:szCs w:val="18"/>
          <w:lang w:eastAsia="ru-RU" w:bidi="ar-SA"/>
        </w:rPr>
        <w:t xml:space="preserve">, - сообщила заместитель руководителя новосибирского Росреестра </w:t>
      </w:r>
      <w:r w:rsidRPr="009A3E78">
        <w:rPr>
          <w:rFonts w:ascii="Times New Roman" w:eastAsia="Times New Roman" w:hAnsi="Times New Roman" w:cs="Times New Roman"/>
          <w:b/>
          <w:color w:val="auto"/>
          <w:sz w:val="18"/>
          <w:szCs w:val="18"/>
          <w:lang w:eastAsia="ru-RU" w:bidi="ar-SA"/>
        </w:rPr>
        <w:t xml:space="preserve">Наталья </w:t>
      </w:r>
      <w:proofErr w:type="spellStart"/>
      <w:r w:rsidRPr="009A3E78">
        <w:rPr>
          <w:rFonts w:ascii="Times New Roman" w:eastAsia="Times New Roman" w:hAnsi="Times New Roman" w:cs="Times New Roman"/>
          <w:b/>
          <w:color w:val="auto"/>
          <w:sz w:val="18"/>
          <w:szCs w:val="18"/>
          <w:lang w:eastAsia="ru-RU" w:bidi="ar-SA"/>
        </w:rPr>
        <w:t>Ивчатова</w:t>
      </w:r>
      <w:proofErr w:type="spellEnd"/>
      <w:r w:rsidRPr="009A3E78">
        <w:rPr>
          <w:rFonts w:ascii="Times New Roman" w:eastAsia="Times New Roman" w:hAnsi="Times New Roman" w:cs="Times New Roman"/>
          <w:color w:val="auto"/>
          <w:sz w:val="18"/>
          <w:szCs w:val="18"/>
          <w:lang w:eastAsia="ru-RU" w:bidi="ar-SA"/>
        </w:rPr>
        <w:t>.</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При подаче документов в МФЦ специалист приема документов сформирует УИН, выдаст квитанцию с QR - кодом, содержащую УИН.</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 xml:space="preserve">При подаче документов в электронном виде УИН сформируется автоматически после того, как будут внесены все необходимые данные о заявителе, виде объекта недвижимости и виде обращения (государственная регистрация, кадастровый учет или единая процедура). </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Произвести оплату по УИН можно в МФЦ или в любом отделении банка, а также самостоятельно через мобильный банк.</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Важно знать, что УИН действителен в течение 5 дней. Срок рассмотрения документов в Росреестре начинается с момента поступления оплаты, отсутствие в регистрирующем органе информации об оплате госпошлины является основанием для возврата документов без рассмотрения.</w:t>
      </w:r>
    </w:p>
    <w:p w:rsidR="00E43F8E" w:rsidRPr="009A3E78" w:rsidRDefault="00E43F8E" w:rsidP="009A3E78">
      <w:pPr>
        <w:pStyle w:val="Standard"/>
        <w:ind w:firstLine="709"/>
        <w:jc w:val="both"/>
        <w:rPr>
          <w:rFonts w:ascii="Times New Roman" w:hAnsi="Times New Roman" w:cs="Times New Roman"/>
          <w:sz w:val="18"/>
          <w:szCs w:val="18"/>
        </w:rPr>
      </w:pPr>
      <w:r w:rsidRPr="009A3E78">
        <w:rPr>
          <w:rFonts w:ascii="Times New Roman" w:eastAsia="Times New Roman" w:hAnsi="Times New Roman" w:cs="Times New Roman"/>
          <w:color w:val="auto"/>
          <w:sz w:val="18"/>
          <w:szCs w:val="18"/>
          <w:lang w:eastAsia="ru-RU" w:bidi="ar-SA"/>
        </w:rPr>
        <w:t xml:space="preserve">При наличии вопросов о порядке и размерах оплаты государственной пошлины можно обратиться к </w:t>
      </w:r>
      <w:r w:rsidRPr="009A3E78">
        <w:rPr>
          <w:rFonts w:ascii="Times New Roman" w:eastAsia="Times New Roman" w:hAnsi="Times New Roman" w:cs="Times New Roman"/>
          <w:color w:val="auto"/>
          <w:sz w:val="18"/>
          <w:szCs w:val="18"/>
          <w:lang w:eastAsia="ru-RU" w:bidi="ar-SA"/>
        </w:rPr>
        <w:lastRenderedPageBreak/>
        <w:t>специалисту МФЦ, осуществляющему прием документов. В случае подачи документов в электронном виде рекомендуем обращаться в «Школу электронных услуг», действующей в новосибирском Росреестре, контактные телефоны: 8 (383) 243-88-28, 8 (383) 330-52-70, 8 (383-56)-20-786.</w:t>
      </w:r>
    </w:p>
    <w:p w:rsidR="00E43F8E" w:rsidRPr="009A3E78" w:rsidRDefault="00E43F8E" w:rsidP="009A3E78">
      <w:pPr>
        <w:pStyle w:val="Standard"/>
        <w:jc w:val="center"/>
        <w:rPr>
          <w:rFonts w:ascii="Times New Roman" w:eastAsia="Times New Roman" w:hAnsi="Times New Roman" w:cs="Times New Roman"/>
          <w:b/>
          <w:color w:val="auto"/>
          <w:sz w:val="18"/>
          <w:szCs w:val="18"/>
          <w:lang w:eastAsia="ru-RU" w:bidi="ar-SA"/>
        </w:rPr>
      </w:pPr>
      <w:r w:rsidRPr="009A3E78">
        <w:rPr>
          <w:rFonts w:ascii="Times New Roman" w:eastAsia="Times New Roman" w:hAnsi="Times New Roman" w:cs="Times New Roman"/>
          <w:b/>
          <w:color w:val="auto"/>
          <w:sz w:val="18"/>
          <w:szCs w:val="18"/>
          <w:lang w:eastAsia="ru-RU" w:bidi="ar-SA"/>
        </w:rPr>
        <w:t xml:space="preserve">Региональный </w:t>
      </w:r>
      <w:proofErr w:type="spellStart"/>
      <w:r w:rsidRPr="009A3E78">
        <w:rPr>
          <w:rFonts w:ascii="Times New Roman" w:eastAsia="Times New Roman" w:hAnsi="Times New Roman" w:cs="Times New Roman"/>
          <w:b/>
          <w:color w:val="auto"/>
          <w:sz w:val="18"/>
          <w:szCs w:val="18"/>
          <w:lang w:eastAsia="ru-RU" w:bidi="ar-SA"/>
        </w:rPr>
        <w:t>Роскадастр</w:t>
      </w:r>
      <w:proofErr w:type="spellEnd"/>
      <w:r w:rsidRPr="009A3E78">
        <w:rPr>
          <w:rFonts w:ascii="Times New Roman" w:eastAsia="Times New Roman" w:hAnsi="Times New Roman" w:cs="Times New Roman"/>
          <w:b/>
          <w:color w:val="auto"/>
          <w:sz w:val="18"/>
          <w:szCs w:val="18"/>
          <w:lang w:eastAsia="ru-RU" w:bidi="ar-SA"/>
        </w:rPr>
        <w:t xml:space="preserve"> рассказал, как Единый государственный реестр недвижимости помогает в деле охраны природы</w:t>
      </w:r>
    </w:p>
    <w:p w:rsidR="00E43F8E" w:rsidRPr="009A3E78" w:rsidRDefault="00E43F8E" w:rsidP="009A3E78">
      <w:pPr>
        <w:ind w:firstLine="709"/>
        <w:jc w:val="both"/>
        <w:rPr>
          <w:sz w:val="18"/>
          <w:szCs w:val="18"/>
        </w:rPr>
      </w:pPr>
      <w:r w:rsidRPr="009A3E78">
        <w:rPr>
          <w:sz w:val="18"/>
          <w:szCs w:val="18"/>
        </w:rPr>
        <w:t>Ежегодно 5 июня отмечается Всемирный день окружающей среды. В России также в этот день чествуют экологов и поздравляют с профессиональным праздником. Сегодняшний праздник – отличный повод напомнить всем о необходимости беречь и сохранять природу. Филиал ППК «</w:t>
      </w:r>
      <w:proofErr w:type="spellStart"/>
      <w:r w:rsidRPr="009A3E78">
        <w:rPr>
          <w:sz w:val="18"/>
          <w:szCs w:val="18"/>
        </w:rPr>
        <w:t>Роскадастр</w:t>
      </w:r>
      <w:proofErr w:type="spellEnd"/>
      <w:r w:rsidRPr="009A3E78">
        <w:rPr>
          <w:sz w:val="18"/>
          <w:szCs w:val="18"/>
        </w:rPr>
        <w:t>» по Новосибирской области рассказал о значении Единого государственного реестра недвижимости (ЕГРН) в деле охраны природной среды.</w:t>
      </w:r>
    </w:p>
    <w:p w:rsidR="00E43F8E" w:rsidRPr="009A3E78" w:rsidRDefault="00E43F8E" w:rsidP="009A3E78">
      <w:pPr>
        <w:ind w:firstLine="709"/>
        <w:jc w:val="both"/>
        <w:rPr>
          <w:sz w:val="18"/>
          <w:szCs w:val="18"/>
        </w:rPr>
      </w:pPr>
      <w:r w:rsidRPr="009A3E78">
        <w:rPr>
          <w:sz w:val="18"/>
          <w:szCs w:val="18"/>
        </w:rPr>
        <w:t xml:space="preserve">Филиал Компании проводит работу по внесению в ЕГРН сведений о границах особо охраняемых природных </w:t>
      </w:r>
      <w:hyperlink r:id="rId8" w:history="1">
        <w:r w:rsidRPr="009A3E78">
          <w:rPr>
            <w:rStyle w:val="af1"/>
            <w:sz w:val="18"/>
            <w:szCs w:val="18"/>
          </w:rPr>
          <w:t>территорий</w:t>
        </w:r>
      </w:hyperlink>
      <w:r w:rsidRPr="009A3E78">
        <w:rPr>
          <w:sz w:val="18"/>
          <w:szCs w:val="18"/>
        </w:rPr>
        <w:t xml:space="preserve"> (ООПТ). К ним относятся государственные природные заповедники и заказники, национальные и природные парки, памятники природы, дендрологические парки и ботанические сады. </w:t>
      </w:r>
    </w:p>
    <w:p w:rsidR="00E43F8E" w:rsidRPr="009A3E78" w:rsidRDefault="00E43F8E" w:rsidP="009A3E78">
      <w:pPr>
        <w:ind w:firstLine="709"/>
        <w:jc w:val="both"/>
        <w:rPr>
          <w:sz w:val="18"/>
          <w:szCs w:val="18"/>
        </w:rPr>
      </w:pPr>
      <w:r w:rsidRPr="009A3E78">
        <w:rPr>
          <w:sz w:val="18"/>
          <w:szCs w:val="18"/>
        </w:rPr>
        <w:t>Сведения вносятся в ЕГРН в порядке межведомственного информационного взаимодействия с органами власти и органами местного самоуправления, уполномоченными на принятие решения об установлении или изменении границ территорий.</w:t>
      </w:r>
    </w:p>
    <w:p w:rsidR="00E43F8E" w:rsidRPr="009A3E78" w:rsidRDefault="00E43F8E" w:rsidP="009A3E78">
      <w:pPr>
        <w:ind w:firstLine="709"/>
        <w:jc w:val="both"/>
        <w:rPr>
          <w:i/>
          <w:iCs/>
          <w:sz w:val="18"/>
          <w:szCs w:val="18"/>
        </w:rPr>
      </w:pPr>
      <w:r w:rsidRPr="009A3E78">
        <w:rPr>
          <w:sz w:val="18"/>
          <w:szCs w:val="18"/>
        </w:rPr>
        <w:t>«</w:t>
      </w:r>
      <w:r w:rsidRPr="009A3E78">
        <w:rPr>
          <w:i/>
          <w:iCs/>
          <w:sz w:val="18"/>
          <w:szCs w:val="18"/>
        </w:rPr>
        <w:t>На сегодняшний день в Новосибирской области создано 79 ООПТ регионального значения, сведения о которых в полном объеме внесены в ЕГРН. Среди них – природный парк «</w:t>
      </w:r>
      <w:proofErr w:type="spellStart"/>
      <w:r w:rsidRPr="009A3E78">
        <w:rPr>
          <w:i/>
          <w:iCs/>
          <w:sz w:val="18"/>
          <w:szCs w:val="18"/>
        </w:rPr>
        <w:t>Караканский</w:t>
      </w:r>
      <w:proofErr w:type="spellEnd"/>
      <w:r w:rsidRPr="009A3E78">
        <w:rPr>
          <w:i/>
          <w:iCs/>
          <w:sz w:val="18"/>
          <w:szCs w:val="18"/>
        </w:rPr>
        <w:t xml:space="preserve"> бор», лесной парк «</w:t>
      </w:r>
      <w:proofErr w:type="spellStart"/>
      <w:r w:rsidRPr="009A3E78">
        <w:rPr>
          <w:i/>
          <w:iCs/>
          <w:sz w:val="18"/>
          <w:szCs w:val="18"/>
        </w:rPr>
        <w:t>Заельцовский</w:t>
      </w:r>
      <w:proofErr w:type="spellEnd"/>
      <w:r w:rsidRPr="009A3E78">
        <w:rPr>
          <w:i/>
          <w:iCs/>
          <w:sz w:val="18"/>
          <w:szCs w:val="18"/>
        </w:rPr>
        <w:t xml:space="preserve"> бор», природный заказник «</w:t>
      </w:r>
      <w:proofErr w:type="spellStart"/>
      <w:r w:rsidRPr="009A3E78">
        <w:rPr>
          <w:i/>
          <w:iCs/>
          <w:sz w:val="18"/>
          <w:szCs w:val="18"/>
        </w:rPr>
        <w:t>Кудряшовский</w:t>
      </w:r>
      <w:proofErr w:type="spellEnd"/>
      <w:r w:rsidRPr="009A3E78">
        <w:rPr>
          <w:i/>
          <w:iCs/>
          <w:sz w:val="18"/>
          <w:szCs w:val="18"/>
        </w:rPr>
        <w:t xml:space="preserve"> бор», памятники природы «Дендрологический парк» и «</w:t>
      </w:r>
      <w:proofErr w:type="spellStart"/>
      <w:r w:rsidRPr="009A3E78">
        <w:rPr>
          <w:i/>
          <w:iCs/>
          <w:sz w:val="18"/>
          <w:szCs w:val="18"/>
        </w:rPr>
        <w:t>Бердские</w:t>
      </w:r>
      <w:proofErr w:type="spellEnd"/>
      <w:r w:rsidRPr="009A3E78">
        <w:rPr>
          <w:i/>
          <w:iCs/>
          <w:sz w:val="18"/>
          <w:szCs w:val="18"/>
        </w:rPr>
        <w:t xml:space="preserve"> скалы», </w:t>
      </w:r>
      <w:r w:rsidRPr="009A3E78">
        <w:rPr>
          <w:sz w:val="18"/>
          <w:szCs w:val="18"/>
        </w:rPr>
        <w:t xml:space="preserve">– отметил </w:t>
      </w:r>
      <w:r w:rsidRPr="009A3E78">
        <w:rPr>
          <w:b/>
          <w:bCs/>
          <w:sz w:val="18"/>
          <w:szCs w:val="18"/>
        </w:rPr>
        <w:t>заместитель министра природных ресурсов и экологии Новосибирской области Дмитрий Цуканов.</w:t>
      </w:r>
    </w:p>
    <w:p w:rsidR="00E43F8E" w:rsidRPr="009A3E78" w:rsidRDefault="00E43F8E" w:rsidP="009A3E78">
      <w:pPr>
        <w:ind w:firstLine="709"/>
        <w:jc w:val="both"/>
        <w:rPr>
          <w:sz w:val="18"/>
          <w:szCs w:val="18"/>
        </w:rPr>
      </w:pPr>
      <w:r w:rsidRPr="009A3E78">
        <w:rPr>
          <w:sz w:val="18"/>
          <w:szCs w:val="18"/>
        </w:rPr>
        <w:t xml:space="preserve">При выборе земельного участка под строительство важно убедиться в том, что земли не попадают в границы установленной ООПТ. Получить информацию о том, прилегает ли участок к территории или находится непосредственно в границах ООПТ, можно с помощью сервиса «Публичная кадастровая карта» на </w:t>
      </w:r>
      <w:hyperlink r:id="rId9" w:history="1">
        <w:r w:rsidRPr="009A3E78">
          <w:rPr>
            <w:rStyle w:val="af1"/>
            <w:sz w:val="18"/>
            <w:szCs w:val="18"/>
          </w:rPr>
          <w:t>Портале</w:t>
        </w:r>
      </w:hyperlink>
      <w:r w:rsidRPr="009A3E78">
        <w:rPr>
          <w:sz w:val="18"/>
          <w:szCs w:val="18"/>
        </w:rPr>
        <w:t xml:space="preserve"> пространственных данных федеральной государственной географической информационной системы «Единая цифровая платформа «Национальная система пространственных данных».</w:t>
      </w:r>
    </w:p>
    <w:p w:rsidR="00E43F8E" w:rsidRPr="009A3E78" w:rsidRDefault="00E43F8E" w:rsidP="009A3E78">
      <w:pPr>
        <w:ind w:firstLine="709"/>
        <w:jc w:val="both"/>
        <w:rPr>
          <w:sz w:val="18"/>
          <w:szCs w:val="18"/>
        </w:rPr>
      </w:pPr>
      <w:r w:rsidRPr="009A3E78">
        <w:rPr>
          <w:sz w:val="18"/>
          <w:szCs w:val="18"/>
        </w:rPr>
        <w:t xml:space="preserve">Сведения в виде юридически значимого документа можно получить, запросив выписку из ЕГРН об объекте недвижимости в любом офисе </w:t>
      </w:r>
      <w:hyperlink r:id="rId10" w:history="1">
        <w:r w:rsidRPr="009A3E78">
          <w:rPr>
            <w:rStyle w:val="af1"/>
            <w:sz w:val="18"/>
            <w:szCs w:val="18"/>
          </w:rPr>
          <w:t>центра</w:t>
        </w:r>
      </w:hyperlink>
      <w:r w:rsidRPr="009A3E78">
        <w:rPr>
          <w:sz w:val="18"/>
          <w:szCs w:val="18"/>
        </w:rPr>
        <w:t xml:space="preserve"> «Мои документы» (МФЦ), в рамках </w:t>
      </w:r>
      <w:hyperlink r:id="rId11" w:history="1">
        <w:r w:rsidRPr="009A3E78">
          <w:rPr>
            <w:rStyle w:val="af1"/>
            <w:sz w:val="18"/>
            <w:szCs w:val="18"/>
          </w:rPr>
          <w:t>выездного обслуживания</w:t>
        </w:r>
      </w:hyperlink>
      <w:r w:rsidRPr="009A3E78">
        <w:rPr>
          <w:sz w:val="18"/>
          <w:szCs w:val="18"/>
        </w:rPr>
        <w:t xml:space="preserve"> новосибирского </w:t>
      </w:r>
      <w:proofErr w:type="spellStart"/>
      <w:r w:rsidRPr="009A3E78">
        <w:rPr>
          <w:sz w:val="18"/>
          <w:szCs w:val="18"/>
        </w:rPr>
        <w:t>Роскадастра</w:t>
      </w:r>
      <w:proofErr w:type="spellEnd"/>
      <w:r w:rsidRPr="009A3E78">
        <w:rPr>
          <w:sz w:val="18"/>
          <w:szCs w:val="18"/>
        </w:rPr>
        <w:t xml:space="preserve">, а также на официальном </w:t>
      </w:r>
      <w:hyperlink r:id="rId12" w:history="1">
        <w:r w:rsidRPr="009A3E78">
          <w:rPr>
            <w:rStyle w:val="af1"/>
            <w:sz w:val="18"/>
            <w:szCs w:val="18"/>
          </w:rPr>
          <w:t>сайте</w:t>
        </w:r>
      </w:hyperlink>
      <w:r w:rsidRPr="009A3E78">
        <w:rPr>
          <w:sz w:val="18"/>
          <w:szCs w:val="18"/>
        </w:rPr>
        <w:t xml:space="preserve"> Росреестра или на </w:t>
      </w:r>
      <w:hyperlink r:id="rId13" w:history="1">
        <w:r w:rsidRPr="009A3E78">
          <w:rPr>
            <w:rStyle w:val="af1"/>
            <w:sz w:val="18"/>
            <w:szCs w:val="18"/>
          </w:rPr>
          <w:t>портале</w:t>
        </w:r>
      </w:hyperlink>
      <w:r w:rsidRPr="009A3E78">
        <w:rPr>
          <w:sz w:val="18"/>
          <w:szCs w:val="18"/>
        </w:rPr>
        <w:t xml:space="preserve"> «Госуслуги».</w:t>
      </w:r>
    </w:p>
    <w:p w:rsidR="00E43F8E" w:rsidRPr="009A3E78" w:rsidRDefault="00E43F8E" w:rsidP="009A3E78">
      <w:pPr>
        <w:ind w:firstLine="709"/>
        <w:jc w:val="both"/>
        <w:rPr>
          <w:sz w:val="18"/>
          <w:szCs w:val="18"/>
        </w:rPr>
      </w:pPr>
      <w:r w:rsidRPr="009A3E78">
        <w:rPr>
          <w:sz w:val="18"/>
          <w:szCs w:val="18"/>
        </w:rPr>
        <w:t>«</w:t>
      </w:r>
      <w:r w:rsidRPr="009A3E78">
        <w:rPr>
          <w:i/>
          <w:iCs/>
          <w:sz w:val="18"/>
          <w:szCs w:val="18"/>
        </w:rPr>
        <w:t>Наличие в ЕГРН сведений о границах таких территорий способствует защите природных комплексов посредством установления режима особой охраны и запрета любой деятельности, способной нанести вред окружающей среде, растительному и животному миру. Например, рубка леса, мелиоративные работы, строительство коммуникаций, устройство стоянок. Кроме того, минимизируются ошибки при предоставлении органами местного самоуправления земельных участков, соответственно, исключается ущерб, который может быть нанесен уникальным природным местам</w:t>
      </w:r>
      <w:r w:rsidRPr="009A3E78">
        <w:rPr>
          <w:sz w:val="18"/>
          <w:szCs w:val="18"/>
        </w:rPr>
        <w:t xml:space="preserve">», – прокомментировал </w:t>
      </w:r>
      <w:r w:rsidRPr="009A3E78">
        <w:rPr>
          <w:b/>
          <w:bCs/>
          <w:sz w:val="18"/>
          <w:szCs w:val="18"/>
        </w:rPr>
        <w:t>директор филиала ППК «</w:t>
      </w:r>
      <w:proofErr w:type="spellStart"/>
      <w:r w:rsidRPr="009A3E78">
        <w:rPr>
          <w:b/>
          <w:bCs/>
          <w:sz w:val="18"/>
          <w:szCs w:val="18"/>
        </w:rPr>
        <w:t>Роскадастр</w:t>
      </w:r>
      <w:proofErr w:type="spellEnd"/>
      <w:r w:rsidRPr="009A3E78">
        <w:rPr>
          <w:b/>
          <w:bCs/>
          <w:sz w:val="18"/>
          <w:szCs w:val="18"/>
        </w:rPr>
        <w:t>» по Новосибирской области Виталий Герлиц</w:t>
      </w:r>
      <w:r w:rsidRPr="009A3E78">
        <w:rPr>
          <w:sz w:val="18"/>
          <w:szCs w:val="18"/>
        </w:rPr>
        <w:t xml:space="preserve">. </w:t>
      </w:r>
    </w:p>
    <w:p w:rsidR="00E43F8E" w:rsidRPr="009A3E78" w:rsidRDefault="00E43F8E" w:rsidP="009A3E78">
      <w:pPr>
        <w:pStyle w:val="Standard"/>
        <w:jc w:val="center"/>
        <w:rPr>
          <w:rFonts w:ascii="Times New Roman" w:eastAsia="Times New Roman" w:hAnsi="Times New Roman" w:cs="Times New Roman"/>
          <w:b/>
          <w:color w:val="auto"/>
          <w:sz w:val="18"/>
          <w:szCs w:val="18"/>
          <w:lang w:eastAsia="ru-RU" w:bidi="ar-SA"/>
        </w:rPr>
      </w:pPr>
      <w:r w:rsidRPr="009A3E78">
        <w:rPr>
          <w:rFonts w:ascii="Times New Roman" w:eastAsia="Times New Roman" w:hAnsi="Times New Roman" w:cs="Times New Roman"/>
          <w:b/>
          <w:color w:val="auto"/>
          <w:sz w:val="18"/>
          <w:szCs w:val="18"/>
          <w:lang w:eastAsia="ru-RU" w:bidi="ar-SA"/>
        </w:rPr>
        <w:t>Чей земельный участок под многоквартирным домом?</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 xml:space="preserve">Законом определено, что земельный участок, на котором расположен многоквартирный дом, является общим имуществом всех собственников жилых и нежилых помещений в таком доме. Его подтверждение является правом, а не обязанностью собственников. </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 xml:space="preserve">Для внесения сведений о правообладателях земельного участка, составляющего общее имущество многоквартирного дома, достаточно обратиться одному из собственников помещения. Информация о таких собственниках вносится в Единый государственный реестр недвижимости в виде одной записи без указания их имен (наименований) и размеров принадлежащих им долей в праве общей долевой собственности. Внесение сведений о собственниках земельного участка, являющегося общим имуществом, осуществляется без взимания госпошлины. </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 xml:space="preserve">В настоящее время новосибирский Росреестр вносит сведения о правообладателях общего имущества, в том числе земельного участка, самостоятельно, без предоставления заявлений. </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i/>
          <w:color w:val="auto"/>
          <w:sz w:val="18"/>
          <w:szCs w:val="18"/>
          <w:lang w:eastAsia="ru-RU" w:bidi="ar-SA"/>
        </w:rPr>
        <w:t>«Общее имущество в многоквартирном доме формируется для обеспечения рационального функционирования дома. Такое имущество предназначено для общего использования собственниками помещений и не считается самостоятельным объектом права</w:t>
      </w:r>
      <w:r w:rsidRPr="009A3E78">
        <w:rPr>
          <w:rFonts w:ascii="Times New Roman" w:eastAsia="Times New Roman" w:hAnsi="Times New Roman" w:cs="Times New Roman"/>
          <w:color w:val="auto"/>
          <w:sz w:val="18"/>
          <w:szCs w:val="18"/>
          <w:lang w:eastAsia="ru-RU" w:bidi="ar-SA"/>
        </w:rPr>
        <w:t xml:space="preserve">. – отмечает </w:t>
      </w:r>
      <w:r w:rsidRPr="009A3E78">
        <w:rPr>
          <w:rFonts w:ascii="Times New Roman" w:eastAsia="Times New Roman" w:hAnsi="Times New Roman" w:cs="Times New Roman"/>
          <w:b/>
          <w:color w:val="auto"/>
          <w:sz w:val="18"/>
          <w:szCs w:val="18"/>
          <w:lang w:eastAsia="ru-RU" w:bidi="ar-SA"/>
        </w:rPr>
        <w:t xml:space="preserve">Вячеслав </w:t>
      </w:r>
      <w:proofErr w:type="spellStart"/>
      <w:r w:rsidRPr="009A3E78">
        <w:rPr>
          <w:rFonts w:ascii="Times New Roman" w:eastAsia="Times New Roman" w:hAnsi="Times New Roman" w:cs="Times New Roman"/>
          <w:b/>
          <w:color w:val="auto"/>
          <w:sz w:val="18"/>
          <w:szCs w:val="18"/>
          <w:lang w:eastAsia="ru-RU" w:bidi="ar-SA"/>
        </w:rPr>
        <w:t>Можайцев</w:t>
      </w:r>
      <w:proofErr w:type="spellEnd"/>
      <w:r w:rsidRPr="009A3E78">
        <w:rPr>
          <w:rFonts w:ascii="Times New Roman" w:eastAsia="Times New Roman" w:hAnsi="Times New Roman" w:cs="Times New Roman"/>
          <w:color w:val="auto"/>
          <w:sz w:val="18"/>
          <w:szCs w:val="18"/>
          <w:lang w:eastAsia="ru-RU" w:bidi="ar-SA"/>
        </w:rPr>
        <w:t xml:space="preserve">, начальник отдела обеспечения государственной регистрации прав и сделок Департамента земельных и имущественных отношений мэрии города Новосибирска, - </w:t>
      </w:r>
      <w:r w:rsidRPr="009A3E78">
        <w:rPr>
          <w:rFonts w:ascii="Times New Roman" w:eastAsia="Times New Roman" w:hAnsi="Times New Roman" w:cs="Times New Roman"/>
          <w:i/>
          <w:color w:val="auto"/>
          <w:sz w:val="18"/>
          <w:szCs w:val="18"/>
          <w:lang w:eastAsia="ru-RU" w:bidi="ar-SA"/>
        </w:rPr>
        <w:t>Собственник помещений не может распоряжаться общим имуществом по своему усмотрению»</w:t>
      </w:r>
      <w:r w:rsidRPr="009A3E78">
        <w:rPr>
          <w:rFonts w:ascii="Times New Roman" w:eastAsia="Times New Roman" w:hAnsi="Times New Roman" w:cs="Times New Roman"/>
          <w:color w:val="auto"/>
          <w:sz w:val="18"/>
          <w:szCs w:val="18"/>
          <w:lang w:eastAsia="ru-RU" w:bidi="ar-SA"/>
        </w:rPr>
        <w:t>.</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Лицо, продавшее помещение в многоквартирном доме, утрачивает право на общее имущество, в том числе и на земельный участок, а покупатель, наоборот, это право приобретает. Отказаться от общего имущества или выделить его часть невозможно.</w:t>
      </w:r>
    </w:p>
    <w:p w:rsidR="005F589D"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Налог на имущество физических лиц и земельный налог в отношении имущества, принадлежащего собственникам помещений в многоквартирном доме на праве общей долевой собственности, не исчисляется и не уплачивается.</w:t>
      </w:r>
    </w:p>
    <w:p w:rsidR="00E43F8E" w:rsidRPr="009A3E78" w:rsidRDefault="00E43F8E" w:rsidP="009A3E78">
      <w:pPr>
        <w:pStyle w:val="Standard"/>
        <w:jc w:val="center"/>
        <w:rPr>
          <w:rFonts w:ascii="Times New Roman" w:eastAsia="Times New Roman" w:hAnsi="Times New Roman" w:cs="Times New Roman"/>
          <w:b/>
          <w:color w:val="auto"/>
          <w:sz w:val="18"/>
          <w:szCs w:val="18"/>
          <w:lang w:eastAsia="ru-RU" w:bidi="ar-SA"/>
        </w:rPr>
      </w:pPr>
      <w:r w:rsidRPr="009A3E78">
        <w:rPr>
          <w:rFonts w:ascii="Times New Roman" w:eastAsia="Times New Roman" w:hAnsi="Times New Roman" w:cs="Times New Roman"/>
          <w:b/>
          <w:color w:val="auto"/>
          <w:sz w:val="18"/>
          <w:szCs w:val="18"/>
          <w:lang w:eastAsia="ru-RU" w:bidi="ar-SA"/>
        </w:rPr>
        <w:t xml:space="preserve">О признаках неосвоенной земли и условиях ее изъятия рассказала в эфире региональных новостей телеканала «Россия 1» заместитель руководителя новосибирского Росреестра </w:t>
      </w:r>
      <w:r w:rsidRPr="009A3E78">
        <w:rPr>
          <w:rFonts w:ascii="Times New Roman" w:eastAsia="Times New Roman" w:hAnsi="Times New Roman" w:cs="Times New Roman"/>
          <w:b/>
          <w:color w:val="auto"/>
          <w:sz w:val="18"/>
          <w:szCs w:val="18"/>
          <w:lang w:eastAsia="ru-RU" w:bidi="ar-SA"/>
        </w:rPr>
        <w:br/>
        <w:t xml:space="preserve">Наталья </w:t>
      </w:r>
      <w:proofErr w:type="spellStart"/>
      <w:r w:rsidRPr="009A3E78">
        <w:rPr>
          <w:rFonts w:ascii="Times New Roman" w:eastAsia="Times New Roman" w:hAnsi="Times New Roman" w:cs="Times New Roman"/>
          <w:b/>
          <w:color w:val="auto"/>
          <w:sz w:val="18"/>
          <w:szCs w:val="18"/>
          <w:lang w:eastAsia="ru-RU" w:bidi="ar-SA"/>
        </w:rPr>
        <w:t>Ивчатова</w:t>
      </w:r>
      <w:proofErr w:type="spellEnd"/>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 xml:space="preserve">Правительство России утвердило перечень признаков неиспользования земельных участков из состава земель населенных пунктов, садовых и огородных земельных участков. Документ, который вступает в силу 1 сентября 2025 года, содержит критерии, которые позволят оценить, осуществляется ли использование земельных участков в установленные Законом № 307-ФЗ сроки. </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Основная цель постановления – повышение качества использования земельными ресурсами и защита граждан, чьи участки расположены по соседству с заброшенными либо захламленными.</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Теперь владельцы земельных участков будут четко понимать, какие меры необходимо предпринять для недопущения причин, которые в итоге могут привести к изъятию участка.</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В частности, не допускать захламление или загрязнение отходами более половины площади участка, зарастание более половины участка различными сорными растениями (высотой более 1 метра), а также деревьями и кустарниками, которые не являются предметами благоустройства и озеленения.</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Важно также содержать здание либо сооружение, расположенное на участке, в надлежащем состоянии - не допускать разрушения крыши, стен, выпадения окон или стёкол из окон.</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В числе признаков неиспользования земельного участка относится и отсутствие здания или сооружения в течение 5 лет на участке, предназначенном для строительства (при этом установлены случаи, когда срок может быть иным) или 7 лет на участке, предназначенном для индивидуального жилищного строительства.</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i/>
          <w:color w:val="auto"/>
          <w:sz w:val="18"/>
          <w:szCs w:val="18"/>
          <w:lang w:eastAsia="ru-RU" w:bidi="ar-SA"/>
        </w:rPr>
        <w:t xml:space="preserve">«Стоит серьезно относиться к владению земельными участками, использовать их по целевому назначению и </w:t>
      </w:r>
      <w:r w:rsidRPr="009A3E78">
        <w:rPr>
          <w:rFonts w:ascii="Times New Roman" w:eastAsia="Times New Roman" w:hAnsi="Times New Roman" w:cs="Times New Roman"/>
          <w:i/>
          <w:color w:val="auto"/>
          <w:sz w:val="18"/>
          <w:szCs w:val="18"/>
          <w:lang w:eastAsia="ru-RU" w:bidi="ar-SA"/>
        </w:rPr>
        <w:lastRenderedPageBreak/>
        <w:t>не допускать нарушений</w:t>
      </w:r>
      <w:r w:rsidRPr="009A3E78">
        <w:rPr>
          <w:rFonts w:ascii="Times New Roman" w:eastAsia="Times New Roman" w:hAnsi="Times New Roman" w:cs="Times New Roman"/>
          <w:color w:val="auto"/>
          <w:sz w:val="18"/>
          <w:szCs w:val="18"/>
          <w:lang w:eastAsia="ru-RU" w:bidi="ar-SA"/>
        </w:rPr>
        <w:t xml:space="preserve">, - подчеркнула заместитель руководителя новосибирского Росреестра </w:t>
      </w:r>
      <w:r w:rsidRPr="009A3E78">
        <w:rPr>
          <w:rFonts w:ascii="Times New Roman" w:eastAsia="Times New Roman" w:hAnsi="Times New Roman" w:cs="Times New Roman"/>
          <w:b/>
          <w:color w:val="auto"/>
          <w:sz w:val="18"/>
          <w:szCs w:val="18"/>
          <w:lang w:eastAsia="ru-RU" w:bidi="ar-SA"/>
        </w:rPr>
        <w:t xml:space="preserve">Наталья </w:t>
      </w:r>
      <w:proofErr w:type="spellStart"/>
      <w:r w:rsidRPr="009A3E78">
        <w:rPr>
          <w:rFonts w:ascii="Times New Roman" w:eastAsia="Times New Roman" w:hAnsi="Times New Roman" w:cs="Times New Roman"/>
          <w:b/>
          <w:color w:val="auto"/>
          <w:sz w:val="18"/>
          <w:szCs w:val="18"/>
          <w:lang w:eastAsia="ru-RU" w:bidi="ar-SA"/>
        </w:rPr>
        <w:t>Ивчатова</w:t>
      </w:r>
      <w:proofErr w:type="spellEnd"/>
      <w:r w:rsidRPr="009A3E78">
        <w:rPr>
          <w:rFonts w:ascii="Times New Roman" w:eastAsia="Times New Roman" w:hAnsi="Times New Roman" w:cs="Times New Roman"/>
          <w:color w:val="auto"/>
          <w:sz w:val="18"/>
          <w:szCs w:val="18"/>
          <w:lang w:eastAsia="ru-RU" w:bidi="ar-SA"/>
        </w:rPr>
        <w:t xml:space="preserve">. – </w:t>
      </w:r>
      <w:r w:rsidRPr="009A3E78">
        <w:rPr>
          <w:rFonts w:ascii="Times New Roman" w:eastAsia="Times New Roman" w:hAnsi="Times New Roman" w:cs="Times New Roman"/>
          <w:i/>
          <w:color w:val="auto"/>
          <w:sz w:val="18"/>
          <w:szCs w:val="18"/>
          <w:lang w:eastAsia="ru-RU" w:bidi="ar-SA"/>
        </w:rPr>
        <w:t>В рамках контрольно-надзорных полномочий государственные инспекторы по использованию и охране земель Росреестра будут проводить профилактические мероприятия, при обнаружении признаков нарушений собственники участков получат предупреждения, в которых будут указаны сроки их устранения, что в конечном итоге позволит избежать процедуру изъятия участка, как крайней меры».</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p>
    <w:p w:rsidR="00E43F8E" w:rsidRPr="009A3E78" w:rsidRDefault="00E43F8E" w:rsidP="009A3E78">
      <w:pPr>
        <w:pStyle w:val="Standard"/>
        <w:ind w:firstLine="709"/>
        <w:jc w:val="both"/>
        <w:rPr>
          <w:rFonts w:ascii="Times New Roman" w:hAnsi="Times New Roman" w:cs="Times New Roman"/>
          <w:sz w:val="18"/>
          <w:szCs w:val="18"/>
        </w:rPr>
      </w:pPr>
      <w:r w:rsidRPr="009A3E78">
        <w:rPr>
          <w:rFonts w:ascii="Times New Roman" w:eastAsia="Times New Roman" w:hAnsi="Times New Roman" w:cs="Times New Roman"/>
          <w:color w:val="auto"/>
          <w:sz w:val="18"/>
          <w:szCs w:val="18"/>
          <w:lang w:eastAsia="ru-RU" w:bidi="ar-SA"/>
        </w:rPr>
        <w:t xml:space="preserve">Запись интервью с заместителем руководителя Управления Росреестра по Новосибирской области Натальей </w:t>
      </w:r>
      <w:proofErr w:type="spellStart"/>
      <w:r w:rsidRPr="009A3E78">
        <w:rPr>
          <w:rFonts w:ascii="Times New Roman" w:eastAsia="Times New Roman" w:hAnsi="Times New Roman" w:cs="Times New Roman"/>
          <w:color w:val="auto"/>
          <w:sz w:val="18"/>
          <w:szCs w:val="18"/>
          <w:lang w:eastAsia="ru-RU" w:bidi="ar-SA"/>
        </w:rPr>
        <w:t>Ивчатовой</w:t>
      </w:r>
      <w:proofErr w:type="spellEnd"/>
      <w:r w:rsidRPr="009A3E78">
        <w:rPr>
          <w:rFonts w:ascii="Times New Roman" w:eastAsia="Times New Roman" w:hAnsi="Times New Roman" w:cs="Times New Roman"/>
          <w:color w:val="auto"/>
          <w:sz w:val="18"/>
          <w:szCs w:val="18"/>
          <w:lang w:eastAsia="ru-RU" w:bidi="ar-SA"/>
        </w:rPr>
        <w:t xml:space="preserve"> можно посмотреть по ссылке </w:t>
      </w:r>
      <w:hyperlink r:id="rId14" w:history="1">
        <w:r w:rsidRPr="009A3E78">
          <w:rPr>
            <w:rStyle w:val="af1"/>
            <w:rFonts w:ascii="Times New Roman" w:eastAsia="Times New Roman" w:hAnsi="Times New Roman" w:cs="Times New Roman"/>
            <w:sz w:val="18"/>
            <w:szCs w:val="18"/>
            <w:lang w:eastAsia="ru-RU" w:bidi="ar-SA"/>
          </w:rPr>
          <w:t>https://www.nsktv.ru/news/city/vesti_novosibirsk_razobralis_v_tonkostyakh_novogo_zakona_o_neosvoennoy_zemle/</w:t>
        </w:r>
      </w:hyperlink>
      <w:r w:rsidRPr="009A3E78">
        <w:rPr>
          <w:rFonts w:ascii="Times New Roman" w:eastAsia="Times New Roman" w:hAnsi="Times New Roman" w:cs="Times New Roman"/>
          <w:color w:val="auto"/>
          <w:sz w:val="18"/>
          <w:szCs w:val="18"/>
          <w:lang w:eastAsia="ru-RU" w:bidi="ar-SA"/>
        </w:rPr>
        <w:t xml:space="preserve">. </w:t>
      </w:r>
    </w:p>
    <w:p w:rsidR="00E43F8E" w:rsidRPr="009A3E78" w:rsidRDefault="00E43F8E" w:rsidP="009A3E78">
      <w:pPr>
        <w:pStyle w:val="Standard"/>
        <w:jc w:val="center"/>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b/>
          <w:color w:val="auto"/>
          <w:sz w:val="18"/>
          <w:szCs w:val="18"/>
          <w:lang w:eastAsia="ru-RU" w:bidi="ar-SA"/>
        </w:rPr>
        <w:t xml:space="preserve">Уникальные названия географических объектов </w:t>
      </w:r>
      <w:r w:rsidRPr="009A3E78">
        <w:rPr>
          <w:rFonts w:ascii="Times New Roman" w:eastAsia="Times New Roman" w:hAnsi="Times New Roman" w:cs="Times New Roman"/>
          <w:b/>
          <w:color w:val="auto"/>
          <w:sz w:val="18"/>
          <w:szCs w:val="18"/>
          <w:lang w:eastAsia="ru-RU" w:bidi="ar-SA"/>
        </w:rPr>
        <w:br/>
        <w:t>Новосибирской области</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 xml:space="preserve">В прямом эфире программы «В курсе дня» на «Радио России» (Новосибирск) </w:t>
      </w:r>
      <w:r w:rsidRPr="009A3E78">
        <w:rPr>
          <w:rFonts w:ascii="Times New Roman" w:eastAsia="Times New Roman" w:hAnsi="Times New Roman" w:cs="Times New Roman"/>
          <w:b/>
          <w:color w:val="auto"/>
          <w:sz w:val="18"/>
          <w:szCs w:val="18"/>
          <w:lang w:eastAsia="ru-RU" w:bidi="ar-SA"/>
        </w:rPr>
        <w:t>Наталья Зайцева</w:t>
      </w:r>
      <w:r w:rsidRPr="009A3E78">
        <w:rPr>
          <w:rFonts w:ascii="Times New Roman" w:eastAsia="Times New Roman" w:hAnsi="Times New Roman" w:cs="Times New Roman"/>
          <w:color w:val="auto"/>
          <w:sz w:val="18"/>
          <w:szCs w:val="18"/>
          <w:lang w:eastAsia="ru-RU" w:bidi="ar-SA"/>
        </w:rPr>
        <w:t xml:space="preserve">, заместитель руководителя Управления Росреестра по Новосибирской области, рассказала о топонимике населенных пунктов и природных объектов региона. </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 xml:space="preserve">Запись эфира можно посмотреть по ссылке </w:t>
      </w:r>
      <w:hyperlink r:id="rId15" w:history="1">
        <w:r w:rsidRPr="009A3E78">
          <w:rPr>
            <w:rStyle w:val="af1"/>
            <w:rFonts w:ascii="Times New Roman" w:eastAsia="Times New Roman" w:hAnsi="Times New Roman" w:cs="Times New Roman"/>
            <w:sz w:val="18"/>
            <w:szCs w:val="18"/>
            <w:lang w:eastAsia="ru-RU" w:bidi="ar-SA"/>
          </w:rPr>
          <w:t>https://vk.com/nsktv_ru?w=wall-38320907_95119</w:t>
        </w:r>
      </w:hyperlink>
      <w:r w:rsidRPr="009A3E78">
        <w:rPr>
          <w:rFonts w:ascii="Times New Roman" w:eastAsia="Times New Roman" w:hAnsi="Times New Roman" w:cs="Times New Roman"/>
          <w:color w:val="auto"/>
          <w:sz w:val="18"/>
          <w:szCs w:val="18"/>
          <w:lang w:eastAsia="ru-RU" w:bidi="ar-SA"/>
        </w:rPr>
        <w:t xml:space="preserve">. </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Вы узнаете:</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 xml:space="preserve">- как появились географические названия городов и сел Новосибирской области и с чем они связаны, </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 может ли житель региона дать название населенному пункту либо переименовать его,</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 какие ошибки в наименованиях географических объектов области выявляет Росреестр и какие существуют последствия в употреблении некорректных наименований,</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 повлияет ли административная реформа органов местного самоуправления на изменение наименований населенных пунктов в регионе,</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 сколько в Новосибирской области населенных пунктов и земельных участков,</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 почему необходимо устанавливать границы земельных участков,</w:t>
      </w:r>
    </w:p>
    <w:p w:rsidR="00E43F8E" w:rsidRPr="009A3E78" w:rsidRDefault="00E43F8E" w:rsidP="009A3E78">
      <w:pPr>
        <w:pStyle w:val="Standard"/>
        <w:ind w:firstLine="709"/>
        <w:jc w:val="both"/>
        <w:rPr>
          <w:rFonts w:ascii="Times New Roman" w:hAnsi="Times New Roman" w:cs="Times New Roman"/>
          <w:sz w:val="18"/>
          <w:szCs w:val="18"/>
        </w:rPr>
      </w:pPr>
      <w:r w:rsidRPr="009A3E78">
        <w:rPr>
          <w:rFonts w:ascii="Times New Roman" w:eastAsia="Times New Roman" w:hAnsi="Times New Roman" w:cs="Times New Roman"/>
          <w:color w:val="auto"/>
          <w:sz w:val="18"/>
          <w:szCs w:val="18"/>
          <w:lang w:eastAsia="ru-RU" w:bidi="ar-SA"/>
        </w:rPr>
        <w:t>- когда будет проводиться очередная кадастровая оценка земельных участков.</w:t>
      </w:r>
    </w:p>
    <w:p w:rsidR="00E43F8E" w:rsidRPr="009A3E78" w:rsidRDefault="00E43F8E" w:rsidP="009A3E78">
      <w:pPr>
        <w:pStyle w:val="Standard"/>
        <w:jc w:val="center"/>
        <w:rPr>
          <w:rFonts w:ascii="Times New Roman" w:eastAsia="Times New Roman" w:hAnsi="Times New Roman" w:cs="Times New Roman"/>
          <w:b/>
          <w:color w:val="auto"/>
          <w:sz w:val="18"/>
          <w:szCs w:val="18"/>
          <w:lang w:eastAsia="ru-RU" w:bidi="ar-SA"/>
        </w:rPr>
      </w:pPr>
      <w:r w:rsidRPr="009A3E78">
        <w:rPr>
          <w:rFonts w:ascii="Times New Roman" w:eastAsia="Times New Roman" w:hAnsi="Times New Roman" w:cs="Times New Roman"/>
          <w:b/>
          <w:color w:val="auto"/>
          <w:sz w:val="18"/>
          <w:szCs w:val="18"/>
          <w:lang w:eastAsia="ru-RU" w:bidi="ar-SA"/>
        </w:rPr>
        <w:t xml:space="preserve">В каких случаях юридические лица могут </w:t>
      </w:r>
    </w:p>
    <w:p w:rsidR="00E43F8E" w:rsidRPr="009A3E78" w:rsidRDefault="00E43F8E" w:rsidP="009A3E78">
      <w:pPr>
        <w:pStyle w:val="Standard"/>
        <w:jc w:val="center"/>
        <w:rPr>
          <w:rFonts w:ascii="Times New Roman" w:eastAsia="Times New Roman" w:hAnsi="Times New Roman" w:cs="Times New Roman"/>
          <w:b/>
          <w:color w:val="auto"/>
          <w:sz w:val="18"/>
          <w:szCs w:val="18"/>
          <w:lang w:eastAsia="ru-RU" w:bidi="ar-SA"/>
        </w:rPr>
      </w:pPr>
      <w:r w:rsidRPr="009A3E78">
        <w:rPr>
          <w:rFonts w:ascii="Times New Roman" w:eastAsia="Times New Roman" w:hAnsi="Times New Roman" w:cs="Times New Roman"/>
          <w:b/>
          <w:color w:val="auto"/>
          <w:sz w:val="18"/>
          <w:szCs w:val="18"/>
          <w:lang w:eastAsia="ru-RU" w:bidi="ar-SA"/>
        </w:rPr>
        <w:t>подавать документы на бумаге</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С 1 марта 2025 года юридические лица обязаны предоставлять заявления о кадастровом учете и государственной регистрации прав с прилагаемыми к ним документами в Росреестр исключительно в электронной форме.</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Бумажные документы возвращаются без рассмотрения.</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Исключение составляют случаи, когда стороной сделки является физическое лицо (кроме договоров участия в долевом строительстве). Также юридическое лицо вправе предоставить в Росреестр документы на бумаге при временной технической невозможности направить их в электронном виде.</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Кроме этого, до 1 января 2026 года возможность подачи заявлений на бумажном носителе сохраняется за рядом юридических лиц. К ним относятся: крестьянские (фермерские) хозяйства, садоводческие и огороднические товарищества, гаражные, жилищные и жилищно-строительные кооперативы, а также товарищества собственников жилья.</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Дополнительно сообщаем, что рассмотрение заявлений, представленных в Росреестр посредством онлайн-сервисов, осуществляется в сокращенные сроки - за 1 рабочий день при отсутствии замечаний.</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Подать документы в электронном виде можно через:</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 xml:space="preserve">- личный кабинет правообладателя на сайте Росреестра (rosreestr.gov.ru); </w:t>
      </w:r>
    </w:p>
    <w:p w:rsidR="00E43F8E" w:rsidRPr="009A3E78" w:rsidRDefault="00E43F8E" w:rsidP="009A3E78">
      <w:pPr>
        <w:pStyle w:val="Standard"/>
        <w:ind w:firstLine="709"/>
        <w:jc w:val="both"/>
        <w:rPr>
          <w:rFonts w:ascii="Times New Roman" w:eastAsia="Times New Roman" w:hAnsi="Times New Roman" w:cs="Times New Roman"/>
          <w:color w:val="auto"/>
          <w:sz w:val="18"/>
          <w:szCs w:val="18"/>
          <w:lang w:eastAsia="ru-RU" w:bidi="ar-SA"/>
        </w:rPr>
      </w:pPr>
      <w:r w:rsidRPr="009A3E78">
        <w:rPr>
          <w:rFonts w:ascii="Times New Roman" w:eastAsia="Times New Roman" w:hAnsi="Times New Roman" w:cs="Times New Roman"/>
          <w:color w:val="auto"/>
          <w:sz w:val="18"/>
          <w:szCs w:val="18"/>
          <w:lang w:eastAsia="ru-RU" w:bidi="ar-SA"/>
        </w:rPr>
        <w:t xml:space="preserve">- Единый портал государственных и муниципальных услуг (gosuslugi.ru); </w:t>
      </w:r>
    </w:p>
    <w:p w:rsidR="00E43F8E" w:rsidRPr="009A3E78" w:rsidRDefault="00E43F8E" w:rsidP="009A3E78">
      <w:pPr>
        <w:pStyle w:val="Standard"/>
        <w:ind w:firstLine="709"/>
        <w:jc w:val="both"/>
        <w:rPr>
          <w:rFonts w:ascii="Times New Roman" w:hAnsi="Times New Roman" w:cs="Times New Roman"/>
          <w:sz w:val="18"/>
          <w:szCs w:val="18"/>
        </w:rPr>
      </w:pPr>
      <w:r w:rsidRPr="009A3E78">
        <w:rPr>
          <w:rFonts w:ascii="Times New Roman" w:eastAsia="Times New Roman" w:hAnsi="Times New Roman" w:cs="Times New Roman"/>
          <w:color w:val="auto"/>
          <w:sz w:val="18"/>
          <w:szCs w:val="18"/>
          <w:lang w:eastAsia="ru-RU" w:bidi="ar-SA"/>
        </w:rPr>
        <w:t>- иные информационные площадки.</w:t>
      </w:r>
    </w:p>
    <w:p w:rsidR="00E43F8E" w:rsidRPr="009A3E78" w:rsidRDefault="00E43F8E" w:rsidP="009A3E78">
      <w:pPr>
        <w:jc w:val="center"/>
        <w:rPr>
          <w:b/>
          <w:sz w:val="18"/>
          <w:szCs w:val="18"/>
        </w:rPr>
      </w:pPr>
      <w:r w:rsidRPr="009A3E78">
        <w:rPr>
          <w:b/>
          <w:sz w:val="18"/>
          <w:szCs w:val="18"/>
        </w:rPr>
        <w:t>В Новосибирской области доля внесенных в ЕГРН населенных пунктов достигла 76%</w:t>
      </w:r>
    </w:p>
    <w:p w:rsidR="00E43F8E" w:rsidRPr="009A3E78" w:rsidRDefault="00E43F8E" w:rsidP="009A3E78">
      <w:pPr>
        <w:ind w:firstLine="709"/>
        <w:jc w:val="both"/>
        <w:rPr>
          <w:sz w:val="18"/>
          <w:szCs w:val="18"/>
        </w:rPr>
      </w:pPr>
      <w:r w:rsidRPr="009A3E78">
        <w:rPr>
          <w:sz w:val="18"/>
          <w:szCs w:val="18"/>
        </w:rPr>
        <w:t xml:space="preserve">С начала года </w:t>
      </w:r>
      <w:r w:rsidRPr="009A3E78">
        <w:rPr>
          <w:sz w:val="18"/>
          <w:szCs w:val="18"/>
          <w:lang w:eastAsia="en-US"/>
        </w:rPr>
        <w:t xml:space="preserve">Единый государственный реестр недвижимости </w:t>
      </w:r>
      <w:r w:rsidRPr="009A3E78">
        <w:rPr>
          <w:sz w:val="18"/>
          <w:szCs w:val="18"/>
        </w:rPr>
        <w:t>пополнился сведениями о границах еще 52 населенных пунктов Новосибирской области.</w:t>
      </w:r>
    </w:p>
    <w:p w:rsidR="00E43F8E" w:rsidRPr="009A3E78" w:rsidRDefault="00E43F8E" w:rsidP="009A3E78">
      <w:pPr>
        <w:ind w:firstLine="709"/>
        <w:jc w:val="both"/>
        <w:rPr>
          <w:sz w:val="18"/>
          <w:szCs w:val="18"/>
        </w:rPr>
      </w:pPr>
      <w:r w:rsidRPr="009A3E78">
        <w:rPr>
          <w:color w:val="000000"/>
          <w:sz w:val="18"/>
          <w:szCs w:val="18"/>
        </w:rPr>
        <w:t>Н</w:t>
      </w:r>
      <w:r w:rsidRPr="009A3E78">
        <w:rPr>
          <w:sz w:val="18"/>
          <w:szCs w:val="18"/>
          <w:lang w:eastAsia="en-US"/>
        </w:rPr>
        <w:t xml:space="preserve">а 01.06.2025 в ЕГРН внесены границы 1171 </w:t>
      </w:r>
      <w:r w:rsidRPr="009A3E78">
        <w:rPr>
          <w:sz w:val="18"/>
          <w:szCs w:val="18"/>
        </w:rPr>
        <w:t xml:space="preserve">населенного пункта из 1542 </w:t>
      </w:r>
      <w:r w:rsidRPr="009A3E78">
        <w:rPr>
          <w:sz w:val="18"/>
          <w:szCs w:val="18"/>
          <w:lang w:eastAsia="en-US"/>
        </w:rPr>
        <w:t>(75,9%).</w:t>
      </w:r>
    </w:p>
    <w:p w:rsidR="00E43F8E" w:rsidRPr="009A3E78" w:rsidRDefault="00E43F8E" w:rsidP="009A3E78">
      <w:pPr>
        <w:ind w:firstLine="709"/>
        <w:jc w:val="both"/>
        <w:rPr>
          <w:sz w:val="18"/>
          <w:szCs w:val="18"/>
          <w:lang w:eastAsia="en-US"/>
        </w:rPr>
      </w:pPr>
      <w:r w:rsidRPr="009A3E78">
        <w:rPr>
          <w:sz w:val="18"/>
          <w:szCs w:val="18"/>
          <w:lang w:eastAsia="en-US"/>
        </w:rPr>
        <w:t xml:space="preserve">Активизировалась работа в </w:t>
      </w:r>
      <w:proofErr w:type="spellStart"/>
      <w:r w:rsidRPr="009A3E78">
        <w:rPr>
          <w:sz w:val="18"/>
          <w:szCs w:val="18"/>
          <w:lang w:eastAsia="en-US"/>
        </w:rPr>
        <w:t>Болотнинском</w:t>
      </w:r>
      <w:proofErr w:type="spellEnd"/>
      <w:r w:rsidRPr="009A3E78">
        <w:rPr>
          <w:sz w:val="18"/>
          <w:szCs w:val="18"/>
          <w:lang w:eastAsia="en-US"/>
        </w:rPr>
        <w:t xml:space="preserve">, Куйбышевском районах, близится к завершению в Северном районе, а в Убинском и </w:t>
      </w:r>
      <w:proofErr w:type="spellStart"/>
      <w:r w:rsidRPr="009A3E78">
        <w:rPr>
          <w:sz w:val="18"/>
          <w:szCs w:val="18"/>
          <w:lang w:eastAsia="en-US"/>
        </w:rPr>
        <w:t>Чулымском</w:t>
      </w:r>
      <w:proofErr w:type="spellEnd"/>
      <w:r w:rsidRPr="009A3E78">
        <w:rPr>
          <w:sz w:val="18"/>
          <w:szCs w:val="18"/>
          <w:lang w:eastAsia="en-US"/>
        </w:rPr>
        <w:t xml:space="preserve"> районах все населенные пункты имеют границы. Среди них есть и с необычными названиями: Веселая, Чуваши, Лисьи Норки, Новый Карапуз, Пенек, Секты, Большие Кулики, Чебаки, Ударник.</w:t>
      </w:r>
    </w:p>
    <w:p w:rsidR="00E43F8E" w:rsidRPr="009A3E78" w:rsidRDefault="00E43F8E" w:rsidP="009A3E78">
      <w:pPr>
        <w:ind w:firstLine="709"/>
        <w:jc w:val="both"/>
        <w:rPr>
          <w:sz w:val="18"/>
          <w:szCs w:val="18"/>
          <w:lang w:eastAsia="en-US"/>
        </w:rPr>
      </w:pPr>
      <w:r w:rsidRPr="009A3E78">
        <w:rPr>
          <w:sz w:val="18"/>
          <w:szCs w:val="18"/>
          <w:lang w:eastAsia="en-US"/>
        </w:rPr>
        <w:t xml:space="preserve">Сведения о границах населенных пунктов можно получить в виде выписки из ЕГРН, а увидеть - воспользовавшись порталом пространственных данных «Национальная система пространственных данных» https://nspd.gov.ru/map. </w:t>
      </w:r>
    </w:p>
    <w:p w:rsidR="00E43F8E" w:rsidRPr="009A3E78" w:rsidRDefault="00E43F8E" w:rsidP="009A3E78">
      <w:pPr>
        <w:shd w:val="clear" w:color="auto" w:fill="FFFFFF"/>
        <w:jc w:val="center"/>
        <w:rPr>
          <w:b/>
          <w:sz w:val="18"/>
          <w:szCs w:val="18"/>
        </w:rPr>
      </w:pPr>
      <w:r w:rsidRPr="009A3E78">
        <w:rPr>
          <w:rFonts w:eastAsia="PT Astra Serif"/>
          <w:b/>
          <w:sz w:val="18"/>
          <w:szCs w:val="18"/>
        </w:rPr>
        <w:t>Все земельные участки Новосибирской области переоценят в 2026 году</w:t>
      </w:r>
    </w:p>
    <w:p w:rsidR="00E43F8E" w:rsidRPr="009A3E78" w:rsidRDefault="00E43F8E" w:rsidP="009A3E78">
      <w:pPr>
        <w:ind w:firstLine="709"/>
        <w:jc w:val="both"/>
        <w:rPr>
          <w:sz w:val="18"/>
          <w:szCs w:val="18"/>
        </w:rPr>
      </w:pPr>
      <w:r w:rsidRPr="009A3E78">
        <w:rPr>
          <w:rFonts w:eastAsia="PT Astra Serif"/>
          <w:sz w:val="18"/>
          <w:szCs w:val="18"/>
        </w:rPr>
        <w:t>Управление Росреестра по Новосибирской области информирует, что в 2026 году в регионе будет проведена государственная кадастровая оценка всех земельных участков всех категорий земель.</w:t>
      </w:r>
    </w:p>
    <w:p w:rsidR="00E43F8E" w:rsidRPr="009A3E78" w:rsidRDefault="00E43F8E" w:rsidP="009A3E78">
      <w:pPr>
        <w:ind w:firstLine="709"/>
        <w:jc w:val="both"/>
        <w:rPr>
          <w:sz w:val="18"/>
          <w:szCs w:val="18"/>
        </w:rPr>
      </w:pPr>
      <w:r w:rsidRPr="009A3E78">
        <w:rPr>
          <w:rFonts w:eastAsia="PT Astra Serif"/>
          <w:sz w:val="18"/>
          <w:szCs w:val="18"/>
        </w:rPr>
        <w:t>Переоценку пройдут более миллиона земельных участков, сведения о которых будут содержаться в Едином государственном реестре недвижимости по состоянию на 1 января 2026 года.</w:t>
      </w:r>
    </w:p>
    <w:p w:rsidR="00E43F8E" w:rsidRPr="009A3E78" w:rsidRDefault="00E43F8E" w:rsidP="009A3E78">
      <w:pPr>
        <w:ind w:firstLine="709"/>
        <w:jc w:val="both"/>
        <w:rPr>
          <w:sz w:val="18"/>
          <w:szCs w:val="18"/>
        </w:rPr>
      </w:pPr>
      <w:r w:rsidRPr="009A3E78">
        <w:rPr>
          <w:rFonts w:eastAsia="PT Astra Serif"/>
          <w:sz w:val="18"/>
          <w:szCs w:val="18"/>
        </w:rPr>
        <w:t>Работы по государственной кадастровой оценке земель будет выполнять государственное бюджетное учреждение Новосибирской области «Новосибирский центр кадастровой оценки и инвентаризации» (ГБУ НСО «ЦКО и БТИ»).</w:t>
      </w:r>
    </w:p>
    <w:p w:rsidR="00E43F8E" w:rsidRPr="009A3E78" w:rsidRDefault="00E43F8E" w:rsidP="009A3E78">
      <w:pPr>
        <w:ind w:firstLine="709"/>
        <w:jc w:val="both"/>
        <w:rPr>
          <w:sz w:val="18"/>
          <w:szCs w:val="18"/>
        </w:rPr>
      </w:pPr>
      <w:r w:rsidRPr="009A3E78">
        <w:rPr>
          <w:rFonts w:eastAsia="PT Astra Serif"/>
          <w:sz w:val="18"/>
          <w:szCs w:val="18"/>
        </w:rPr>
        <w:t>В целях сбора и обработки информации, необходимой для определения кадастровой стоимости, правообладатели земельных участков вправе предоставить в ГБУ НСО «ЦКО и БТИ» декларации об их характеристиках.</w:t>
      </w:r>
    </w:p>
    <w:p w:rsidR="00E43F8E" w:rsidRPr="009A3E78" w:rsidRDefault="00E43F8E" w:rsidP="009A3E78">
      <w:pPr>
        <w:ind w:firstLine="709"/>
        <w:jc w:val="both"/>
        <w:rPr>
          <w:rFonts w:eastAsia="PT Astra Serif"/>
          <w:sz w:val="18"/>
          <w:szCs w:val="18"/>
        </w:rPr>
      </w:pPr>
      <w:r w:rsidRPr="009A3E78">
        <w:rPr>
          <w:rFonts w:eastAsia="PT Astra Serif"/>
          <w:sz w:val="18"/>
          <w:szCs w:val="18"/>
        </w:rPr>
        <w:t>Подача декларации поможет избежать ошибок при проведении государственной кадастровой оценки и повысить точность определения кадастровой стоимости имущества.</w:t>
      </w:r>
    </w:p>
    <w:p w:rsidR="00E43F8E" w:rsidRPr="009A3E78" w:rsidRDefault="00E43F8E" w:rsidP="009A3E78">
      <w:pPr>
        <w:ind w:firstLine="709"/>
        <w:jc w:val="both"/>
        <w:rPr>
          <w:rFonts w:eastAsia="PT Astra Serif"/>
          <w:sz w:val="18"/>
          <w:szCs w:val="18"/>
        </w:rPr>
      </w:pPr>
      <w:r w:rsidRPr="009A3E78">
        <w:rPr>
          <w:rFonts w:eastAsia="PT Astra Serif"/>
          <w:sz w:val="18"/>
          <w:szCs w:val="18"/>
        </w:rPr>
        <w:t xml:space="preserve">Форма декларации размещена на официальном сайте </w:t>
      </w:r>
      <w:hyperlink r:id="rId16" w:tooltip="https://noti.ru/" w:history="1">
        <w:r w:rsidRPr="009A3E78">
          <w:rPr>
            <w:rFonts w:eastAsia="PT Astra Serif"/>
            <w:color w:val="0000FF"/>
            <w:sz w:val="18"/>
            <w:szCs w:val="18"/>
            <w:u w:val="single"/>
          </w:rPr>
          <w:t>ГБУ НСО «ЦКО и БТИ»</w:t>
        </w:r>
      </w:hyperlink>
      <w:r w:rsidRPr="009A3E78">
        <w:rPr>
          <w:rFonts w:eastAsia="PT Astra Serif"/>
          <w:sz w:val="18"/>
          <w:szCs w:val="18"/>
        </w:rPr>
        <w:t xml:space="preserve">  в разделе «Кадастровая оценка».</w:t>
      </w:r>
    </w:p>
    <w:p w:rsidR="00E43F8E" w:rsidRPr="009A3E78" w:rsidRDefault="00E43F8E" w:rsidP="009A3E78">
      <w:pPr>
        <w:ind w:firstLine="709"/>
        <w:jc w:val="both"/>
        <w:rPr>
          <w:sz w:val="18"/>
          <w:szCs w:val="18"/>
        </w:rPr>
      </w:pPr>
      <w:r w:rsidRPr="009A3E78">
        <w:rPr>
          <w:rFonts w:eastAsia="PT Astra Serif"/>
          <w:sz w:val="18"/>
          <w:szCs w:val="18"/>
        </w:rPr>
        <w:t>Подать декларацию в ГБУ НСО «ЦКО и БТИ можно несколькими способами:</w:t>
      </w:r>
    </w:p>
    <w:p w:rsidR="00E43F8E" w:rsidRPr="009A3E78" w:rsidRDefault="00E43F8E" w:rsidP="009A3E78">
      <w:pPr>
        <w:ind w:firstLine="709"/>
        <w:jc w:val="both"/>
        <w:rPr>
          <w:sz w:val="18"/>
          <w:szCs w:val="18"/>
        </w:rPr>
      </w:pPr>
      <w:r w:rsidRPr="009A3E78">
        <w:rPr>
          <w:rFonts w:eastAsia="PT Astra Serif"/>
          <w:sz w:val="18"/>
          <w:szCs w:val="18"/>
        </w:rPr>
        <w:t xml:space="preserve">- почтовым отправлением в адрес: 630004, Новосибирская область, </w:t>
      </w:r>
      <w:r w:rsidRPr="009A3E78">
        <w:rPr>
          <w:rFonts w:eastAsia="PT Astra Serif"/>
          <w:sz w:val="18"/>
          <w:szCs w:val="18"/>
        </w:rPr>
        <w:br/>
        <w:t>г. Новосибирск, ул. Сибирская, 15;</w:t>
      </w:r>
    </w:p>
    <w:p w:rsidR="00E43F8E" w:rsidRPr="009A3E78" w:rsidRDefault="00E43F8E" w:rsidP="009A3E78">
      <w:pPr>
        <w:ind w:firstLine="709"/>
        <w:jc w:val="both"/>
        <w:rPr>
          <w:sz w:val="18"/>
          <w:szCs w:val="18"/>
        </w:rPr>
      </w:pPr>
      <w:r w:rsidRPr="009A3E78">
        <w:rPr>
          <w:rFonts w:eastAsia="PT Astra Serif"/>
          <w:sz w:val="18"/>
          <w:szCs w:val="18"/>
        </w:rPr>
        <w:t>- на адрес электронной почты: declar@noti.ru;</w:t>
      </w:r>
    </w:p>
    <w:p w:rsidR="00E43F8E" w:rsidRPr="009A3E78" w:rsidRDefault="00E43F8E" w:rsidP="009A3E78">
      <w:pPr>
        <w:ind w:firstLine="709"/>
        <w:jc w:val="both"/>
        <w:rPr>
          <w:rFonts w:eastAsia="PT Astra Serif"/>
          <w:sz w:val="18"/>
          <w:szCs w:val="18"/>
        </w:rPr>
      </w:pPr>
      <w:r w:rsidRPr="009A3E78">
        <w:rPr>
          <w:rFonts w:eastAsia="PT Astra Serif"/>
          <w:sz w:val="18"/>
          <w:szCs w:val="18"/>
        </w:rPr>
        <w:t>- непосредственно при личном обращении в ГБУ НСО «ЦКО и БТИ» по адресу: г. Новосибирск, ул. Сибирская, 15.</w:t>
      </w:r>
    </w:p>
    <w:p w:rsidR="00E43F8E" w:rsidRPr="009A3E78" w:rsidRDefault="00E43F8E" w:rsidP="009A3E78">
      <w:pPr>
        <w:ind w:firstLine="709"/>
        <w:jc w:val="both"/>
        <w:rPr>
          <w:sz w:val="18"/>
          <w:szCs w:val="18"/>
        </w:rPr>
      </w:pPr>
    </w:p>
    <w:p w:rsidR="00E43F8E" w:rsidRPr="009A3E78" w:rsidRDefault="00E43F8E" w:rsidP="009A3E78">
      <w:pPr>
        <w:ind w:firstLine="709"/>
        <w:jc w:val="both"/>
        <w:rPr>
          <w:sz w:val="18"/>
          <w:szCs w:val="18"/>
        </w:rPr>
      </w:pPr>
    </w:p>
    <w:p w:rsidR="00E43F8E" w:rsidRPr="009A3E78" w:rsidRDefault="00E43F8E" w:rsidP="009A3E78">
      <w:pPr>
        <w:ind w:firstLine="709"/>
        <w:jc w:val="both"/>
        <w:rPr>
          <w:i/>
          <w:sz w:val="18"/>
          <w:szCs w:val="18"/>
        </w:rPr>
      </w:pPr>
      <w:proofErr w:type="spellStart"/>
      <w:r w:rsidRPr="009A3E78">
        <w:rPr>
          <w:rFonts w:eastAsia="PT Astra Serif"/>
          <w:i/>
          <w:sz w:val="18"/>
          <w:szCs w:val="18"/>
        </w:rPr>
        <w:lastRenderedPageBreak/>
        <w:t>Справочно</w:t>
      </w:r>
      <w:proofErr w:type="spellEnd"/>
      <w:r w:rsidRPr="009A3E78">
        <w:rPr>
          <w:rFonts w:eastAsia="PT Astra Serif"/>
          <w:i/>
          <w:sz w:val="18"/>
          <w:szCs w:val="18"/>
        </w:rPr>
        <w:t>:</w:t>
      </w:r>
    </w:p>
    <w:p w:rsidR="00E43F8E" w:rsidRPr="009A3E78" w:rsidRDefault="00E43F8E" w:rsidP="009A3E78">
      <w:pPr>
        <w:ind w:firstLine="709"/>
        <w:jc w:val="both"/>
        <w:rPr>
          <w:rFonts w:eastAsia="PT Astra Serif"/>
          <w:i/>
          <w:iCs/>
          <w:sz w:val="18"/>
          <w:szCs w:val="18"/>
        </w:rPr>
      </w:pPr>
      <w:r w:rsidRPr="009A3E78">
        <w:rPr>
          <w:rFonts w:eastAsia="PT Astra Serif"/>
          <w:i/>
          <w:sz w:val="18"/>
          <w:szCs w:val="18"/>
        </w:rPr>
        <w:t xml:space="preserve">Форма декларации и порядок ее рассмотрения утверждены приказом </w:t>
      </w:r>
      <w:r w:rsidRPr="009A3E78">
        <w:rPr>
          <w:rFonts w:eastAsia="PT Astra Serif"/>
          <w:i/>
          <w:iCs/>
          <w:sz w:val="18"/>
          <w:szCs w:val="18"/>
        </w:rPr>
        <w:t>Росреестра от 24.05.2021 № П/0216.</w:t>
      </w:r>
    </w:p>
    <w:p w:rsidR="004E1E4D" w:rsidRPr="009A3E78" w:rsidRDefault="004E1E4D" w:rsidP="009A3E78">
      <w:pPr>
        <w:pStyle w:val="afd"/>
        <w:spacing w:before="0" w:beforeAutospacing="0" w:after="0" w:afterAutospacing="0"/>
        <w:ind w:firstLine="720"/>
        <w:jc w:val="both"/>
        <w:rPr>
          <w:rStyle w:val="apple-converted-space"/>
          <w:color w:val="000000"/>
          <w:sz w:val="18"/>
          <w:szCs w:val="18"/>
        </w:rPr>
      </w:pPr>
      <w:r w:rsidRPr="009A3E78">
        <w:rPr>
          <w:rFonts w:eastAsia="Arial"/>
          <w:b/>
          <w:noProof/>
          <w:sz w:val="18"/>
          <w:szCs w:val="18"/>
          <w:lang w:eastAsia="en-US"/>
        </w:rPr>
        <w:t>Управление Росреестра по Новосибирской области предупреждает население о недопущении пала на землях сельскохозяйственного назначения</w:t>
      </w:r>
    </w:p>
    <w:p w:rsidR="004E1E4D" w:rsidRPr="009A3E78" w:rsidRDefault="004E1E4D" w:rsidP="009A3E78">
      <w:pPr>
        <w:autoSpaceDE w:val="0"/>
        <w:autoSpaceDN w:val="0"/>
        <w:adjustRightInd w:val="0"/>
        <w:ind w:firstLine="709"/>
        <w:jc w:val="both"/>
        <w:rPr>
          <w:sz w:val="18"/>
          <w:szCs w:val="18"/>
        </w:rPr>
      </w:pPr>
      <w:r w:rsidRPr="009A3E78">
        <w:rPr>
          <w:sz w:val="18"/>
          <w:szCs w:val="18"/>
        </w:rPr>
        <w:t xml:space="preserve">Ежегодно с приходом весны фиксируются сельскохозяйственные палы (поджоги пожнивных остатков и сухостоя сорной растительности на землях сельскохозяйственного назначения), чем усложняется пожароопасная обстановка. </w:t>
      </w:r>
    </w:p>
    <w:p w:rsidR="004E1E4D" w:rsidRPr="009A3E78" w:rsidRDefault="004E1E4D" w:rsidP="009A3E78">
      <w:pPr>
        <w:autoSpaceDE w:val="0"/>
        <w:autoSpaceDN w:val="0"/>
        <w:adjustRightInd w:val="0"/>
        <w:ind w:firstLine="709"/>
        <w:jc w:val="both"/>
        <w:rPr>
          <w:sz w:val="18"/>
          <w:szCs w:val="18"/>
        </w:rPr>
      </w:pPr>
      <w:r w:rsidRPr="009A3E78">
        <w:rPr>
          <w:sz w:val="18"/>
          <w:szCs w:val="18"/>
        </w:rPr>
        <w:t xml:space="preserve">Управления Росреестра по Новосибирской области обращается ко всем юридическим и физическим лицам, правообладателям и пользователям сельскохозяйственных угодий и напоминает о недопустимости палов сухой </w:t>
      </w:r>
      <w:proofErr w:type="gramStart"/>
      <w:r w:rsidRPr="009A3E78">
        <w:rPr>
          <w:sz w:val="18"/>
          <w:szCs w:val="18"/>
        </w:rPr>
        <w:t>травы  и</w:t>
      </w:r>
      <w:proofErr w:type="gramEnd"/>
      <w:r w:rsidRPr="009A3E78">
        <w:rPr>
          <w:sz w:val="18"/>
          <w:szCs w:val="18"/>
        </w:rPr>
        <w:t xml:space="preserve"> предупреждает землепользователей: </w:t>
      </w:r>
    </w:p>
    <w:p w:rsidR="004E1E4D" w:rsidRPr="009A3E78" w:rsidRDefault="004E1E4D" w:rsidP="009A3E78">
      <w:pPr>
        <w:autoSpaceDE w:val="0"/>
        <w:autoSpaceDN w:val="0"/>
        <w:adjustRightInd w:val="0"/>
        <w:ind w:firstLine="709"/>
        <w:jc w:val="both"/>
        <w:rPr>
          <w:sz w:val="18"/>
          <w:szCs w:val="18"/>
        </w:rPr>
      </w:pPr>
      <w:r w:rsidRPr="009A3E78">
        <w:rPr>
          <w:sz w:val="18"/>
          <w:szCs w:val="18"/>
        </w:rPr>
        <w:t xml:space="preserve">в соответствии с пунктами 218 и 283 Правил противопожарного режима в Российской Федерации, утвержденных постановлением Правительства Российской Федерации от 25 апреля 2012 года № 390, запрещено выжигание сухой травянистой растительности, стерни, пожнивных остатков на землях сельскохозяйственного назначения и землях запаса, разведение костров на полях. </w:t>
      </w:r>
    </w:p>
    <w:p w:rsidR="004E1E4D" w:rsidRPr="009A3E78" w:rsidRDefault="004E1E4D" w:rsidP="009A3E78">
      <w:pPr>
        <w:autoSpaceDE w:val="0"/>
        <w:autoSpaceDN w:val="0"/>
        <w:adjustRightInd w:val="0"/>
        <w:ind w:firstLine="709"/>
        <w:jc w:val="both"/>
        <w:rPr>
          <w:sz w:val="18"/>
          <w:szCs w:val="18"/>
        </w:rPr>
      </w:pPr>
      <w:r w:rsidRPr="009A3E78">
        <w:rPr>
          <w:sz w:val="18"/>
          <w:szCs w:val="18"/>
        </w:rPr>
        <w:t xml:space="preserve">Использование открытого огня и разведение костров на землях сельскохозяйственного назначения и землях запаса могут производиться только при условии соблюдения требований пожарной безопасности, установленных Правилами противопожарного режима в Российской Федерации, а также нормативными правовыми актами Министерства Российской Федерации по делам гражданской обороны, чрезвычайным ситуациям и ликвидации последствий стихийных бедствий, принятыми по согласованию с Министерством природных ресурсов и экологии Российской Федерации и Министерством сельского хозяйства Российской Федерации. </w:t>
      </w:r>
    </w:p>
    <w:p w:rsidR="004E1E4D" w:rsidRPr="009A3E78" w:rsidRDefault="004E1E4D" w:rsidP="009A3E78">
      <w:pPr>
        <w:autoSpaceDE w:val="0"/>
        <w:autoSpaceDN w:val="0"/>
        <w:adjustRightInd w:val="0"/>
        <w:ind w:firstLine="709"/>
        <w:jc w:val="both"/>
        <w:rPr>
          <w:sz w:val="18"/>
          <w:szCs w:val="18"/>
        </w:rPr>
      </w:pPr>
      <w:r w:rsidRPr="009A3E78">
        <w:rPr>
          <w:sz w:val="18"/>
          <w:szCs w:val="18"/>
        </w:rPr>
        <w:t>Сельскохозяйственные палы приводят к снижению плодородия почвы, повреждению лесозащитных насаждений и зачастую приводят к возникновению крупных пожаров и угрожают населенным пунктам, и могут стать причиной гибели людей. Кроме того, запрещено в полосах отвода автомобильных дорог, полосах отвода и охранных зонах железных дорог, путепроводов и продуктопроводов выжигать сухую травянистую растительность, разводить костры, сжигать хворост, порубочные остатки и горючие материалы, а также оставлять сухостойные деревья и кустарники. В целях пресечения фактов выжигания растительности и предупреждения возникновения чрезвычайных ситуаций, вызванных пожарами, возникшими в том числе при сплошном выжигании растительности (палами), 01 февраля 2019 года утвержден План работы Управления Росреестра по Новосибирской области по участию в предупреждении и ликвидации последствий чрезвычайных ситуаций, вызванных пожарами, возникшими в том числе при сплошном выжигании растительности (палами), на территории Новосибирской области.</w:t>
      </w:r>
    </w:p>
    <w:p w:rsidR="004E1E4D" w:rsidRPr="009A3E78" w:rsidRDefault="004E1E4D" w:rsidP="009A3E78">
      <w:pPr>
        <w:autoSpaceDE w:val="0"/>
        <w:autoSpaceDN w:val="0"/>
        <w:adjustRightInd w:val="0"/>
        <w:ind w:firstLine="709"/>
        <w:jc w:val="both"/>
        <w:rPr>
          <w:sz w:val="18"/>
          <w:szCs w:val="18"/>
        </w:rPr>
      </w:pPr>
      <w:r w:rsidRPr="009A3E78">
        <w:rPr>
          <w:sz w:val="18"/>
          <w:szCs w:val="18"/>
        </w:rPr>
        <w:t xml:space="preserve">В рамках проведения надзорных функций по государственному земельному надзору Управлением проводятся обследования земельных участков на наличие признаков чрезвычайных ситуаций (стихийных свалок, сжигания мусора, наличие сухой травы вблизи автомобильных дорог). С целью предупреждения чрезвычайных ситуаций проводятся беседы с землепользователями, собственниками земельных участков о вреде выжигания сухой травянистой растительности, стерни, пожнивных остатков на землях сельскохозяйственного назначения и опасности возникновения крупных пожаров. Следует отметить, что за пожарную безопасность и состояния плодородия почвы несут ответственность землепользователи, собственники земельных участков. </w:t>
      </w:r>
    </w:p>
    <w:p w:rsidR="004E1E4D" w:rsidRPr="009A3E78" w:rsidRDefault="004E1E4D" w:rsidP="009A3E78">
      <w:pPr>
        <w:autoSpaceDE w:val="0"/>
        <w:autoSpaceDN w:val="0"/>
        <w:adjustRightInd w:val="0"/>
        <w:ind w:firstLine="709"/>
        <w:jc w:val="both"/>
        <w:rPr>
          <w:sz w:val="18"/>
          <w:szCs w:val="18"/>
        </w:rPr>
      </w:pPr>
      <w:r w:rsidRPr="009A3E78">
        <w:rPr>
          <w:sz w:val="18"/>
          <w:szCs w:val="18"/>
        </w:rPr>
        <w:t xml:space="preserve">Работа Управления Росреестра по Новосибирской области по профилактике и предупреждению чрезвычайных пожароопасных ситуаций проводится в тесном взаимодействии с Главным Управлением МЧС России по Новосибирской области, Управлением Россельхознадзора по Новосибирской области, уполномоченными органами государственной власти по Новосибирской области, иными органами государственной власти, органами местного самоуправления. В случае обнаружения признаков, указывающих на возможность возникновения чрезвычайной ситуации, государственные инспекторы Управления Росреестра по Новосибирской области сообщают о данных фактах уполномоченным лицам органов местного самоуправления. </w:t>
      </w:r>
    </w:p>
    <w:p w:rsidR="004E1E4D" w:rsidRPr="009A3E78" w:rsidRDefault="004E1E4D" w:rsidP="009A3E78">
      <w:pPr>
        <w:autoSpaceDE w:val="0"/>
        <w:autoSpaceDN w:val="0"/>
        <w:adjustRightInd w:val="0"/>
        <w:ind w:firstLine="709"/>
        <w:jc w:val="both"/>
        <w:rPr>
          <w:sz w:val="18"/>
          <w:szCs w:val="18"/>
        </w:rPr>
      </w:pPr>
      <w:r w:rsidRPr="009A3E78">
        <w:rPr>
          <w:sz w:val="18"/>
          <w:szCs w:val="18"/>
        </w:rPr>
        <w:t xml:space="preserve">Просим Вас проявить максимальную ответственность и не допускать возгорания сухой растительности. Будьте осторожны с огнем! Обнаружив возгорание, попытайтесь остановить распространение огня своими силами и сообщите по телефону: </w:t>
      </w:r>
    </w:p>
    <w:p w:rsidR="004E1E4D" w:rsidRPr="009A3E78" w:rsidRDefault="004E1E4D" w:rsidP="009A3E78">
      <w:pPr>
        <w:autoSpaceDE w:val="0"/>
        <w:autoSpaceDN w:val="0"/>
        <w:adjustRightInd w:val="0"/>
        <w:ind w:firstLine="709"/>
        <w:jc w:val="both"/>
        <w:rPr>
          <w:sz w:val="18"/>
          <w:szCs w:val="18"/>
        </w:rPr>
      </w:pPr>
      <w:r w:rsidRPr="009A3E78">
        <w:rPr>
          <w:sz w:val="18"/>
          <w:szCs w:val="18"/>
        </w:rPr>
        <w:t>- на Единый телефон экстренных служб – 112;</w:t>
      </w:r>
    </w:p>
    <w:p w:rsidR="004E1E4D" w:rsidRPr="009A3E78" w:rsidRDefault="004E1E4D" w:rsidP="009A3E78">
      <w:pPr>
        <w:autoSpaceDE w:val="0"/>
        <w:autoSpaceDN w:val="0"/>
        <w:adjustRightInd w:val="0"/>
        <w:ind w:firstLine="709"/>
        <w:jc w:val="both"/>
        <w:rPr>
          <w:sz w:val="18"/>
          <w:szCs w:val="18"/>
        </w:rPr>
      </w:pPr>
      <w:r w:rsidRPr="009A3E78">
        <w:rPr>
          <w:sz w:val="18"/>
          <w:szCs w:val="18"/>
        </w:rPr>
        <w:t>- в Пожарно-спасательную службу МЧС России – 101;</w:t>
      </w:r>
    </w:p>
    <w:p w:rsidR="004E1E4D" w:rsidRPr="009A3E78" w:rsidRDefault="004E1E4D" w:rsidP="009A3E78">
      <w:pPr>
        <w:autoSpaceDE w:val="0"/>
        <w:autoSpaceDN w:val="0"/>
        <w:adjustRightInd w:val="0"/>
        <w:ind w:firstLine="709"/>
        <w:jc w:val="both"/>
        <w:rPr>
          <w:rStyle w:val="apple-converted-space"/>
          <w:sz w:val="18"/>
          <w:szCs w:val="18"/>
        </w:rPr>
      </w:pPr>
      <w:r w:rsidRPr="009A3E78">
        <w:rPr>
          <w:sz w:val="18"/>
          <w:szCs w:val="18"/>
        </w:rPr>
        <w:t>- «Единый телефон доверия» ГУ МЧС России по Новосибирской области - 8(383) 239-99-99;</w:t>
      </w:r>
    </w:p>
    <w:p w:rsidR="00F90EB7" w:rsidRPr="009A3E78" w:rsidRDefault="009979CD" w:rsidP="009A3E78">
      <w:pPr>
        <w:jc w:val="right"/>
        <w:rPr>
          <w:rFonts w:eastAsia="Quattrocento Sans"/>
          <w:b/>
          <w:i/>
          <w:color w:val="000000"/>
          <w:sz w:val="18"/>
          <w:szCs w:val="18"/>
        </w:rPr>
      </w:pPr>
      <w:bookmarkStart w:id="0" w:name="_GoBack"/>
      <w:bookmarkEnd w:id="0"/>
      <w:r w:rsidRPr="009A3E78">
        <w:rPr>
          <w:rFonts w:eastAsia="Quattrocento Sans"/>
          <w:b/>
          <w:i/>
          <w:color w:val="000000"/>
          <w:sz w:val="18"/>
          <w:szCs w:val="18"/>
        </w:rPr>
        <w:t xml:space="preserve">материал подготовлен Управлением Росреестра </w:t>
      </w:r>
    </w:p>
    <w:p w:rsidR="00F90EB7" w:rsidRPr="009A3E78" w:rsidRDefault="009979CD" w:rsidP="009A3E78">
      <w:pPr>
        <w:jc w:val="right"/>
        <w:rPr>
          <w:rFonts w:eastAsia="Quattrocento Sans"/>
          <w:b/>
          <w:i/>
          <w:color w:val="000000"/>
          <w:sz w:val="18"/>
          <w:szCs w:val="18"/>
        </w:rPr>
      </w:pPr>
      <w:r w:rsidRPr="009A3E78">
        <w:rPr>
          <w:rFonts w:eastAsia="Quattrocento Sans"/>
          <w:b/>
          <w:i/>
          <w:color w:val="000000"/>
          <w:sz w:val="18"/>
          <w:szCs w:val="18"/>
        </w:rPr>
        <w:t xml:space="preserve">по Новосибирской области </w:t>
      </w:r>
    </w:p>
    <w:p w:rsidR="00F90EB7" w:rsidRPr="009A3E78" w:rsidRDefault="00F90EB7" w:rsidP="009A3E78">
      <w:pPr>
        <w:jc w:val="right"/>
        <w:rPr>
          <w:rFonts w:eastAsia="Quattrocento Sans"/>
          <w:b/>
          <w:i/>
          <w:color w:val="000000"/>
          <w:sz w:val="18"/>
          <w:szCs w:val="18"/>
        </w:rPr>
      </w:pPr>
    </w:p>
    <w:p w:rsidR="00F90EB7" w:rsidRPr="009A3E78" w:rsidRDefault="005D3558" w:rsidP="009A3E78">
      <w:pPr>
        <w:jc w:val="right"/>
        <w:rPr>
          <w:b/>
          <w:bCs/>
          <w:i/>
          <w:iCs/>
          <w:color w:val="0070C0"/>
          <w:sz w:val="18"/>
          <w:szCs w:val="18"/>
        </w:rPr>
      </w:pPr>
      <w:r w:rsidRPr="009A3E78">
        <w:rPr>
          <w:noProof/>
          <w:sz w:val="18"/>
          <w:szCs w:val="18"/>
        </w:rPr>
        <w:pict>
          <v:shape id="_x0000_s1026" style="position:absolute;left:0;text-align:left;margin-left:-3.3pt;margin-top:7.1pt;width:490.5pt;height:0;z-index:1;visibility:visible;mso-wrap-style:square;mso-wrap-distance-left:9pt;mso-wrap-distance-top:0;mso-wrap-distance-right:9pt;mso-wrap-distance-bottom:0;mso-position-horizontal:absolute;mso-position-horizontal-relative:text;mso-position-vertical:absolute;mso-position-vertical-relative:text;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" path="m,l,21600r21600,l21600,,,xe" filled="f" strokecolor="#0070c0">
            <v:path arrowok="t" o:extrusionok="f"/>
          </v:shape>
        </w:pict>
      </w:r>
    </w:p>
    <w:p w:rsidR="00F90EB7" w:rsidRPr="009A3E78" w:rsidRDefault="009979CD" w:rsidP="009A3E78">
      <w:pPr>
        <w:jc w:val="both"/>
        <w:rPr>
          <w:b/>
          <w:bCs/>
          <w:sz w:val="18"/>
          <w:szCs w:val="18"/>
        </w:rPr>
      </w:pPr>
      <w:r w:rsidRPr="009A3E78">
        <w:rPr>
          <w:b/>
          <w:bCs/>
          <w:sz w:val="18"/>
          <w:szCs w:val="18"/>
        </w:rPr>
        <w:t>Об Управлении Росреестра по Новосибирской области</w:t>
      </w:r>
    </w:p>
    <w:p w:rsidR="00F90EB7" w:rsidRPr="009A3E78" w:rsidRDefault="009979CD" w:rsidP="009A3E78">
      <w:pPr>
        <w:jc w:val="both"/>
        <w:rPr>
          <w:b/>
          <w:bCs/>
          <w:sz w:val="18"/>
          <w:szCs w:val="18"/>
        </w:rPr>
      </w:pPr>
      <w:r w:rsidRPr="009A3E78">
        <w:rPr>
          <w:sz w:val="18"/>
          <w:szCs w:val="18"/>
        </w:rPr>
        <w:t xml:space="preserve">Управление Федеральной службы государственной регистрации, кадастра и картографии по Новосибирской области (Управление Росреестра по Новосибирской области) является территориальным органом федерального органа исполнительной власти, осуществляющим функции по государственной регистрации прав на недвижимое имущество и сделок с ним, государственному кадастровому учету недвижимого имущества, по оказанию государственных услуг в сфере осуществления государственной регистрации прав на недвижимое имущество и государственного кадастрового учета недвижимого имущества, землеустройства, государственного мониторинга земель, лицензирования геодезической и картографической деятельности, а также функции в сфере геодезии и картографии, наименований географических объектов, по федеральному государственному контролю (надзору) в области геодезии и картографии, федеральному государственному земельному контролю (надзору), государственной кадастровой оценке объектов недвижимости, федеральному государственному контролю (надзору) за деятельностью саморегулируемых организаций. Руководителем Управления Росреестра по Новосибирской области является Светлана Евгеньевна </w:t>
      </w:r>
      <w:proofErr w:type="spellStart"/>
      <w:r w:rsidRPr="009A3E78">
        <w:rPr>
          <w:sz w:val="18"/>
          <w:szCs w:val="18"/>
        </w:rPr>
        <w:t>Рягузова</w:t>
      </w:r>
      <w:proofErr w:type="spellEnd"/>
      <w:r w:rsidRPr="009A3E78">
        <w:rPr>
          <w:sz w:val="18"/>
          <w:szCs w:val="18"/>
        </w:rPr>
        <w:t>.</w:t>
      </w:r>
    </w:p>
    <w:p w:rsidR="00F90EB7" w:rsidRPr="009A3E78" w:rsidRDefault="00F90EB7" w:rsidP="009A3E78">
      <w:pPr>
        <w:tabs>
          <w:tab w:val="left" w:pos="1095"/>
        </w:tabs>
        <w:jc w:val="both"/>
        <w:rPr>
          <w:b/>
          <w:color w:val="000000"/>
          <w:sz w:val="18"/>
          <w:szCs w:val="18"/>
        </w:rPr>
      </w:pPr>
    </w:p>
    <w:p w:rsidR="00F90EB7" w:rsidRPr="009A3E78" w:rsidRDefault="009979CD" w:rsidP="009A3E78">
      <w:pPr>
        <w:tabs>
          <w:tab w:val="left" w:pos="1095"/>
        </w:tabs>
        <w:jc w:val="both"/>
        <w:rPr>
          <w:b/>
          <w:color w:val="000000"/>
          <w:sz w:val="18"/>
          <w:szCs w:val="18"/>
        </w:rPr>
      </w:pPr>
      <w:r w:rsidRPr="009A3E78">
        <w:rPr>
          <w:b/>
          <w:color w:val="000000"/>
          <w:sz w:val="18"/>
          <w:szCs w:val="18"/>
        </w:rPr>
        <w:t>Контакты для СМИ:</w:t>
      </w:r>
    </w:p>
    <w:p w:rsidR="00F90EB7" w:rsidRPr="009A3E78" w:rsidRDefault="009979CD" w:rsidP="009A3E78">
      <w:pPr>
        <w:jc w:val="both"/>
        <w:rPr>
          <w:sz w:val="18"/>
          <w:szCs w:val="18"/>
        </w:rPr>
      </w:pPr>
      <w:r w:rsidRPr="009A3E78">
        <w:rPr>
          <w:sz w:val="18"/>
          <w:szCs w:val="18"/>
        </w:rPr>
        <w:t>Управление Росреестра по Новосибирской области</w:t>
      </w:r>
    </w:p>
    <w:p w:rsidR="00F90EB7" w:rsidRPr="009A3E78" w:rsidRDefault="009979CD" w:rsidP="009A3E78">
      <w:pPr>
        <w:jc w:val="both"/>
        <w:rPr>
          <w:sz w:val="18"/>
          <w:szCs w:val="18"/>
        </w:rPr>
      </w:pPr>
      <w:r w:rsidRPr="009A3E78">
        <w:rPr>
          <w:sz w:val="18"/>
          <w:szCs w:val="18"/>
        </w:rPr>
        <w:t>630091, г. Новосибирск, ул. Державина, д. 28</w:t>
      </w:r>
    </w:p>
    <w:p w:rsidR="00F90EB7" w:rsidRPr="009A3E78" w:rsidRDefault="009979CD" w:rsidP="009A3E78">
      <w:pPr>
        <w:jc w:val="both"/>
        <w:rPr>
          <w:color w:val="000000"/>
          <w:sz w:val="18"/>
          <w:szCs w:val="18"/>
        </w:rPr>
      </w:pPr>
      <w:r w:rsidRPr="009A3E78">
        <w:rPr>
          <w:color w:val="000000"/>
          <w:sz w:val="18"/>
          <w:szCs w:val="18"/>
        </w:rPr>
        <w:t xml:space="preserve">Электронная почта: </w:t>
      </w:r>
    </w:p>
    <w:p w:rsidR="00F90EB7" w:rsidRPr="009A3E78" w:rsidRDefault="005D3558" w:rsidP="009A3E78">
      <w:pPr>
        <w:jc w:val="both"/>
        <w:rPr>
          <w:color w:val="000000"/>
          <w:sz w:val="18"/>
          <w:szCs w:val="18"/>
        </w:rPr>
      </w:pPr>
      <w:hyperlink r:id="rId17" w:history="1">
        <w:r w:rsidR="009979CD" w:rsidRPr="009A3E78">
          <w:rPr>
            <w:rStyle w:val="af1"/>
            <w:sz w:val="18"/>
            <w:szCs w:val="18"/>
            <w:lang w:val="en-US"/>
          </w:rPr>
          <w:t>oko</w:t>
        </w:r>
        <w:r w:rsidR="009979CD" w:rsidRPr="009A3E78">
          <w:rPr>
            <w:rStyle w:val="af1"/>
            <w:sz w:val="18"/>
            <w:szCs w:val="18"/>
          </w:rPr>
          <w:t>@</w:t>
        </w:r>
        <w:r w:rsidR="009979CD" w:rsidRPr="009A3E78">
          <w:rPr>
            <w:rStyle w:val="af1"/>
            <w:sz w:val="18"/>
            <w:szCs w:val="18"/>
            <w:lang w:val="en-US"/>
          </w:rPr>
          <w:t>r</w:t>
        </w:r>
        <w:r w:rsidR="009979CD" w:rsidRPr="009A3E78">
          <w:rPr>
            <w:rStyle w:val="af1"/>
            <w:sz w:val="18"/>
            <w:szCs w:val="18"/>
          </w:rPr>
          <w:t>54.</w:t>
        </w:r>
        <w:r w:rsidR="009979CD" w:rsidRPr="009A3E78">
          <w:rPr>
            <w:rStyle w:val="af1"/>
            <w:sz w:val="18"/>
            <w:szCs w:val="18"/>
            <w:lang w:val="en-US"/>
          </w:rPr>
          <w:t>rosreestr</w:t>
        </w:r>
        <w:r w:rsidR="009979CD" w:rsidRPr="009A3E78">
          <w:rPr>
            <w:rStyle w:val="af1"/>
            <w:sz w:val="18"/>
            <w:szCs w:val="18"/>
          </w:rPr>
          <w:t>.</w:t>
        </w:r>
        <w:proofErr w:type="spellStart"/>
        <w:r w:rsidR="009979CD" w:rsidRPr="009A3E78">
          <w:rPr>
            <w:rStyle w:val="af1"/>
            <w:sz w:val="18"/>
            <w:szCs w:val="18"/>
            <w:lang w:val="en-US"/>
          </w:rPr>
          <w:t>ru</w:t>
        </w:r>
        <w:proofErr w:type="spellEnd"/>
      </w:hyperlink>
      <w:r w:rsidR="009979CD" w:rsidRPr="009A3E78">
        <w:rPr>
          <w:color w:val="000000"/>
          <w:sz w:val="18"/>
          <w:szCs w:val="18"/>
        </w:rPr>
        <w:t xml:space="preserve"> </w:t>
      </w:r>
    </w:p>
    <w:p w:rsidR="00F90EB7" w:rsidRPr="009A3E78" w:rsidRDefault="009979CD" w:rsidP="009A3E78">
      <w:pPr>
        <w:jc w:val="both"/>
        <w:rPr>
          <w:color w:val="000000"/>
          <w:sz w:val="18"/>
          <w:szCs w:val="18"/>
        </w:rPr>
      </w:pPr>
      <w:r w:rsidRPr="009A3E78">
        <w:rPr>
          <w:color w:val="000000"/>
          <w:sz w:val="18"/>
          <w:szCs w:val="18"/>
        </w:rPr>
        <w:t xml:space="preserve">Сайт: </w:t>
      </w:r>
      <w:hyperlink r:id="rId18" w:history="1">
        <w:r w:rsidRPr="009A3E78">
          <w:rPr>
            <w:color w:val="0000FF"/>
            <w:sz w:val="18"/>
            <w:szCs w:val="18"/>
            <w:u w:val="single"/>
          </w:rPr>
          <w:t>Росреестр</w:t>
        </w:r>
      </w:hyperlink>
    </w:p>
    <w:p w:rsidR="00F90EB7" w:rsidRPr="009A3E78" w:rsidRDefault="009979CD" w:rsidP="009A3E78">
      <w:pPr>
        <w:jc w:val="both"/>
        <w:rPr>
          <w:sz w:val="18"/>
          <w:szCs w:val="18"/>
        </w:rPr>
      </w:pPr>
      <w:r w:rsidRPr="009A3E78">
        <w:rPr>
          <w:color w:val="000000"/>
          <w:sz w:val="18"/>
          <w:szCs w:val="18"/>
        </w:rPr>
        <w:t xml:space="preserve">Соцсети: </w:t>
      </w:r>
      <w:hyperlink r:id="rId19" w:history="1">
        <w:proofErr w:type="spellStart"/>
        <w:r w:rsidRPr="009A3E78">
          <w:rPr>
            <w:color w:val="0000FF"/>
            <w:sz w:val="18"/>
            <w:szCs w:val="18"/>
            <w:u w:val="single"/>
          </w:rPr>
          <w:t>ВКонтакте</w:t>
        </w:r>
        <w:proofErr w:type="spellEnd"/>
      </w:hyperlink>
      <w:r w:rsidRPr="009A3E78">
        <w:rPr>
          <w:color w:val="000000"/>
          <w:sz w:val="18"/>
          <w:szCs w:val="18"/>
        </w:rPr>
        <w:t xml:space="preserve">, </w:t>
      </w:r>
      <w:hyperlink r:id="rId20" w:history="1">
        <w:r w:rsidRPr="009A3E78">
          <w:rPr>
            <w:rStyle w:val="af1"/>
            <w:sz w:val="18"/>
            <w:szCs w:val="18"/>
          </w:rPr>
          <w:t>Одноклассники</w:t>
        </w:r>
      </w:hyperlink>
      <w:r w:rsidRPr="009A3E78">
        <w:rPr>
          <w:rStyle w:val="af1"/>
          <w:sz w:val="18"/>
          <w:szCs w:val="18"/>
        </w:rPr>
        <w:t xml:space="preserve">, </w:t>
      </w:r>
      <w:hyperlink r:id="rId21" w:history="1">
        <w:proofErr w:type="spellStart"/>
        <w:r w:rsidRPr="009A3E78">
          <w:rPr>
            <w:rStyle w:val="af1"/>
            <w:sz w:val="18"/>
            <w:szCs w:val="18"/>
          </w:rPr>
          <w:t>Яндекс.Дзен</w:t>
        </w:r>
        <w:proofErr w:type="spellEnd"/>
      </w:hyperlink>
      <w:r w:rsidRPr="009A3E78">
        <w:rPr>
          <w:rStyle w:val="af1"/>
          <w:sz w:val="18"/>
          <w:szCs w:val="18"/>
        </w:rPr>
        <w:t xml:space="preserve">, </w:t>
      </w:r>
      <w:hyperlink r:id="rId22" w:history="1">
        <w:proofErr w:type="spellStart"/>
        <w:r w:rsidRPr="009A3E78">
          <w:rPr>
            <w:rStyle w:val="af1"/>
            <w:sz w:val="18"/>
            <w:szCs w:val="18"/>
          </w:rPr>
          <w:t>Телеграм</w:t>
        </w:r>
        <w:proofErr w:type="spellEnd"/>
      </w:hyperlink>
    </w:p>
    <w:sectPr w:rsidR="00F90EB7" w:rsidRPr="009A3E78" w:rsidSect="009A3E78">
      <w:pgSz w:w="11906" w:h="16838"/>
      <w:pgMar w:top="426" w:right="850" w:bottom="56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D3558" w:rsidRDefault="005D3558">
      <w:r>
        <w:separator/>
      </w:r>
    </w:p>
  </w:endnote>
  <w:endnote w:type="continuationSeparator" w:id="0">
    <w:p w:rsidR="005D3558" w:rsidRDefault="005D35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Liberation Serif">
    <w:altName w:val="Times New Roman"/>
    <w:charset w:val="00"/>
    <w:family w:val="auto"/>
    <w:pitch w:val="default"/>
  </w:font>
  <w:font w:name="Segoe UI">
    <w:panose1 w:val="020B0502040204020203"/>
    <w:charset w:val="CC"/>
    <w:family w:val="swiss"/>
    <w:pitch w:val="variable"/>
    <w:sig w:usb0="E4002EFF" w:usb1="C000E47F" w:usb2="00000009" w:usb3="00000000" w:csb0="000001FF" w:csb1="00000000"/>
  </w:font>
  <w:font w:name="PT Astra Serif">
    <w:panose1 w:val="020A0603040505020204"/>
    <w:charset w:val="CC"/>
    <w:family w:val="roman"/>
    <w:pitch w:val="variable"/>
    <w:sig w:usb0="A00002EF" w:usb1="5000204B" w:usb2="00000020" w:usb3="00000000" w:csb0="00000097" w:csb1="00000000"/>
  </w:font>
  <w:font w:name="Quattrocento Sans">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D3558" w:rsidRDefault="005D3558">
      <w:r>
        <w:separator/>
      </w:r>
    </w:p>
  </w:footnote>
  <w:footnote w:type="continuationSeparator" w:id="0">
    <w:p w:rsidR="005D3558" w:rsidRDefault="005D355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585FF4"/>
    <w:multiLevelType w:val="hybridMultilevel"/>
    <w:tmpl w:val="A2369762"/>
    <w:lvl w:ilvl="0" w:tplc="FB42B40E">
      <w:start w:val="1"/>
      <w:numFmt w:val="bullet"/>
      <w:lvlText w:val=""/>
      <w:lvlJc w:val="left"/>
      <w:pPr>
        <w:tabs>
          <w:tab w:val="num" w:pos="720"/>
        </w:tabs>
        <w:ind w:left="720" w:hanging="360"/>
      </w:pPr>
      <w:rPr>
        <w:rFonts w:ascii="Symbol" w:hAnsi="Symbol"/>
      </w:rPr>
    </w:lvl>
    <w:lvl w:ilvl="1" w:tplc="12CEE49C">
      <w:start w:val="1"/>
      <w:numFmt w:val="bullet"/>
      <w:lvlText w:val=""/>
      <w:lvlJc w:val="left"/>
      <w:pPr>
        <w:tabs>
          <w:tab w:val="num" w:pos="1440"/>
        </w:tabs>
        <w:ind w:left="1440" w:hanging="360"/>
      </w:pPr>
      <w:rPr>
        <w:rFonts w:ascii="Wingdings" w:hAnsi="Wingdings"/>
      </w:rPr>
    </w:lvl>
    <w:lvl w:ilvl="2" w:tplc="E4A88932">
      <w:start w:val="1"/>
      <w:numFmt w:val="bullet"/>
      <w:lvlText w:val=""/>
      <w:lvlJc w:val="left"/>
      <w:pPr>
        <w:tabs>
          <w:tab w:val="num" w:pos="2160"/>
        </w:tabs>
        <w:ind w:left="2160" w:hanging="360"/>
      </w:pPr>
      <w:rPr>
        <w:rFonts w:ascii="Wingdings" w:hAnsi="Wingdings"/>
      </w:rPr>
    </w:lvl>
    <w:lvl w:ilvl="3" w:tplc="DA3CF20C">
      <w:start w:val="1"/>
      <w:numFmt w:val="bullet"/>
      <w:lvlText w:val=""/>
      <w:lvlJc w:val="left"/>
      <w:pPr>
        <w:tabs>
          <w:tab w:val="num" w:pos="2880"/>
        </w:tabs>
        <w:ind w:left="2880" w:hanging="360"/>
      </w:pPr>
      <w:rPr>
        <w:rFonts w:ascii="Symbol" w:hAnsi="Symbol"/>
      </w:rPr>
    </w:lvl>
    <w:lvl w:ilvl="4" w:tplc="452AAE28">
      <w:start w:val="1"/>
      <w:numFmt w:val="bullet"/>
      <w:lvlText w:val="o"/>
      <w:lvlJc w:val="left"/>
      <w:pPr>
        <w:tabs>
          <w:tab w:val="num" w:pos="3600"/>
        </w:tabs>
        <w:ind w:left="3600" w:hanging="360"/>
      </w:pPr>
      <w:rPr>
        <w:rFonts w:ascii="Courier New" w:hAnsi="Courier New" w:cs="Courier New"/>
      </w:rPr>
    </w:lvl>
    <w:lvl w:ilvl="5" w:tplc="E08886E8">
      <w:start w:val="1"/>
      <w:numFmt w:val="bullet"/>
      <w:lvlText w:val=""/>
      <w:lvlJc w:val="left"/>
      <w:pPr>
        <w:tabs>
          <w:tab w:val="num" w:pos="4320"/>
        </w:tabs>
        <w:ind w:left="4320" w:hanging="360"/>
      </w:pPr>
      <w:rPr>
        <w:rFonts w:ascii="Wingdings" w:hAnsi="Wingdings"/>
      </w:rPr>
    </w:lvl>
    <w:lvl w:ilvl="6" w:tplc="F66040FA">
      <w:start w:val="1"/>
      <w:numFmt w:val="bullet"/>
      <w:lvlText w:val=""/>
      <w:lvlJc w:val="left"/>
      <w:pPr>
        <w:tabs>
          <w:tab w:val="num" w:pos="5040"/>
        </w:tabs>
        <w:ind w:left="5040" w:hanging="360"/>
      </w:pPr>
      <w:rPr>
        <w:rFonts w:ascii="Symbol" w:hAnsi="Symbol"/>
      </w:rPr>
    </w:lvl>
    <w:lvl w:ilvl="7" w:tplc="19F2D004">
      <w:start w:val="1"/>
      <w:numFmt w:val="bullet"/>
      <w:lvlText w:val="o"/>
      <w:lvlJc w:val="left"/>
      <w:pPr>
        <w:tabs>
          <w:tab w:val="num" w:pos="5760"/>
        </w:tabs>
        <w:ind w:left="5760" w:hanging="360"/>
      </w:pPr>
      <w:rPr>
        <w:rFonts w:ascii="Courier New" w:hAnsi="Courier New" w:cs="Courier New"/>
      </w:rPr>
    </w:lvl>
    <w:lvl w:ilvl="8" w:tplc="BEA65B20">
      <w:start w:val="1"/>
      <w:numFmt w:val="bullet"/>
      <w:lvlText w:val=""/>
      <w:lvlJc w:val="left"/>
      <w:pPr>
        <w:tabs>
          <w:tab w:val="num" w:pos="6480"/>
        </w:tabs>
        <w:ind w:left="6480" w:hanging="360"/>
      </w:pPr>
      <w:rPr>
        <w:rFonts w:ascii="Wingdings" w:hAnsi="Wingdings"/>
      </w:rPr>
    </w:lvl>
  </w:abstractNum>
  <w:abstractNum w:abstractNumId="1" w15:restartNumberingAfterBreak="0">
    <w:nsid w:val="400F4ACF"/>
    <w:multiLevelType w:val="hybridMultilevel"/>
    <w:tmpl w:val="7DC437E8"/>
    <w:lvl w:ilvl="0" w:tplc="0BD8ADF6">
      <w:start w:val="1"/>
      <w:numFmt w:val="decimal"/>
      <w:lvlText w:val="%1."/>
      <w:lvlJc w:val="left"/>
      <w:pPr>
        <w:ind w:left="720" w:hanging="360"/>
      </w:pPr>
    </w:lvl>
    <w:lvl w:ilvl="1" w:tplc="5874B83E">
      <w:start w:val="1"/>
      <w:numFmt w:val="lowerLetter"/>
      <w:lvlText w:val="%2."/>
      <w:lvlJc w:val="left"/>
      <w:pPr>
        <w:ind w:left="1440" w:hanging="360"/>
      </w:pPr>
    </w:lvl>
    <w:lvl w:ilvl="2" w:tplc="C28ADB98">
      <w:start w:val="1"/>
      <w:numFmt w:val="lowerRoman"/>
      <w:lvlText w:val="%3."/>
      <w:lvlJc w:val="right"/>
      <w:pPr>
        <w:ind w:left="2160" w:hanging="180"/>
      </w:pPr>
    </w:lvl>
    <w:lvl w:ilvl="3" w:tplc="070249D2">
      <w:start w:val="1"/>
      <w:numFmt w:val="decimal"/>
      <w:lvlText w:val="%4."/>
      <w:lvlJc w:val="left"/>
      <w:pPr>
        <w:ind w:left="2880" w:hanging="360"/>
      </w:pPr>
    </w:lvl>
    <w:lvl w:ilvl="4" w:tplc="88603D0C">
      <w:start w:val="1"/>
      <w:numFmt w:val="lowerLetter"/>
      <w:lvlText w:val="%5."/>
      <w:lvlJc w:val="left"/>
      <w:pPr>
        <w:ind w:left="3600" w:hanging="360"/>
      </w:pPr>
    </w:lvl>
    <w:lvl w:ilvl="5" w:tplc="528A1268">
      <w:start w:val="1"/>
      <w:numFmt w:val="lowerRoman"/>
      <w:lvlText w:val="%6."/>
      <w:lvlJc w:val="right"/>
      <w:pPr>
        <w:ind w:left="4320" w:hanging="180"/>
      </w:pPr>
    </w:lvl>
    <w:lvl w:ilvl="6" w:tplc="6D58420C">
      <w:start w:val="1"/>
      <w:numFmt w:val="decimal"/>
      <w:lvlText w:val="%7."/>
      <w:lvlJc w:val="left"/>
      <w:pPr>
        <w:ind w:left="5040" w:hanging="360"/>
      </w:pPr>
    </w:lvl>
    <w:lvl w:ilvl="7" w:tplc="4E547430">
      <w:start w:val="1"/>
      <w:numFmt w:val="lowerLetter"/>
      <w:lvlText w:val="%8."/>
      <w:lvlJc w:val="left"/>
      <w:pPr>
        <w:ind w:left="5760" w:hanging="360"/>
      </w:pPr>
    </w:lvl>
    <w:lvl w:ilvl="8" w:tplc="D442600A">
      <w:start w:val="1"/>
      <w:numFmt w:val="lowerRoman"/>
      <w:lvlText w:val="%9."/>
      <w:lvlJc w:val="right"/>
      <w:pPr>
        <w:ind w:left="6480" w:hanging="180"/>
      </w:pPr>
    </w:lvl>
  </w:abstractNum>
  <w:abstractNum w:abstractNumId="2" w15:restartNumberingAfterBreak="0">
    <w:nsid w:val="4AF01CD3"/>
    <w:multiLevelType w:val="hybridMultilevel"/>
    <w:tmpl w:val="12C6825C"/>
    <w:lvl w:ilvl="0" w:tplc="6AE081B4">
      <w:start w:val="1"/>
      <w:numFmt w:val="decimal"/>
      <w:lvlText w:val="%1."/>
      <w:lvlJc w:val="left"/>
      <w:pPr>
        <w:ind w:left="6740" w:hanging="360"/>
      </w:pPr>
    </w:lvl>
    <w:lvl w:ilvl="1" w:tplc="7E74A60A">
      <w:start w:val="1"/>
      <w:numFmt w:val="lowerLetter"/>
      <w:lvlText w:val="%2."/>
      <w:lvlJc w:val="left"/>
      <w:pPr>
        <w:ind w:left="1440" w:hanging="360"/>
      </w:pPr>
    </w:lvl>
    <w:lvl w:ilvl="2" w:tplc="491642FE">
      <w:start w:val="1"/>
      <w:numFmt w:val="lowerRoman"/>
      <w:lvlText w:val="%3."/>
      <w:lvlJc w:val="right"/>
      <w:pPr>
        <w:ind w:left="2160" w:hanging="180"/>
      </w:pPr>
    </w:lvl>
    <w:lvl w:ilvl="3" w:tplc="5B9AB2BE">
      <w:start w:val="1"/>
      <w:numFmt w:val="decimal"/>
      <w:lvlText w:val="%4."/>
      <w:lvlJc w:val="left"/>
      <w:pPr>
        <w:ind w:left="2880" w:hanging="360"/>
      </w:pPr>
    </w:lvl>
    <w:lvl w:ilvl="4" w:tplc="A5F2ACCA">
      <w:start w:val="1"/>
      <w:numFmt w:val="lowerLetter"/>
      <w:lvlText w:val="%5."/>
      <w:lvlJc w:val="left"/>
      <w:pPr>
        <w:ind w:left="3600" w:hanging="360"/>
      </w:pPr>
    </w:lvl>
    <w:lvl w:ilvl="5" w:tplc="77B04038">
      <w:start w:val="1"/>
      <w:numFmt w:val="lowerRoman"/>
      <w:lvlText w:val="%6."/>
      <w:lvlJc w:val="right"/>
      <w:pPr>
        <w:ind w:left="4320" w:hanging="180"/>
      </w:pPr>
    </w:lvl>
    <w:lvl w:ilvl="6" w:tplc="030081BE">
      <w:start w:val="1"/>
      <w:numFmt w:val="decimal"/>
      <w:lvlText w:val="%7."/>
      <w:lvlJc w:val="left"/>
      <w:pPr>
        <w:ind w:left="5040" w:hanging="360"/>
      </w:pPr>
    </w:lvl>
    <w:lvl w:ilvl="7" w:tplc="B5505844">
      <w:start w:val="1"/>
      <w:numFmt w:val="lowerLetter"/>
      <w:lvlText w:val="%8."/>
      <w:lvlJc w:val="left"/>
      <w:pPr>
        <w:ind w:left="5760" w:hanging="360"/>
      </w:pPr>
    </w:lvl>
    <w:lvl w:ilvl="8" w:tplc="81FABB4A">
      <w:start w:val="1"/>
      <w:numFmt w:val="lowerRoman"/>
      <w:lvlText w:val="%9."/>
      <w:lvlJc w:val="right"/>
      <w:pPr>
        <w:ind w:left="6480" w:hanging="180"/>
      </w:pPr>
    </w:lvl>
  </w:abstractNum>
  <w:abstractNum w:abstractNumId="3" w15:restartNumberingAfterBreak="0">
    <w:nsid w:val="5F0F7EE8"/>
    <w:multiLevelType w:val="hybridMultilevel"/>
    <w:tmpl w:val="C3EE37E6"/>
    <w:lvl w:ilvl="0" w:tplc="F1B2BFE8">
      <w:start w:val="1"/>
      <w:numFmt w:val="decimal"/>
      <w:lvlText w:val="%1."/>
      <w:lvlJc w:val="left"/>
      <w:pPr>
        <w:tabs>
          <w:tab w:val="num" w:pos="360"/>
        </w:tabs>
        <w:ind w:left="360" w:hanging="360"/>
      </w:pPr>
      <w:rPr>
        <w:rFonts w:cs="Times New Roman"/>
      </w:rPr>
    </w:lvl>
    <w:lvl w:ilvl="1" w:tplc="B2225440">
      <w:start w:val="1"/>
      <w:numFmt w:val="bullet"/>
      <w:lvlText w:val="o"/>
      <w:lvlJc w:val="left"/>
      <w:pPr>
        <w:ind w:left="1440" w:hanging="360"/>
      </w:pPr>
      <w:rPr>
        <w:rFonts w:ascii="Courier New" w:eastAsia="Courier New" w:hAnsi="Courier New" w:cs="Courier New" w:hint="default"/>
      </w:rPr>
    </w:lvl>
    <w:lvl w:ilvl="2" w:tplc="AD74BBBA">
      <w:start w:val="1"/>
      <w:numFmt w:val="bullet"/>
      <w:lvlText w:val="§"/>
      <w:lvlJc w:val="left"/>
      <w:pPr>
        <w:ind w:left="2160" w:hanging="360"/>
      </w:pPr>
      <w:rPr>
        <w:rFonts w:ascii="Wingdings" w:eastAsia="Wingdings" w:hAnsi="Wingdings" w:cs="Wingdings" w:hint="default"/>
      </w:rPr>
    </w:lvl>
    <w:lvl w:ilvl="3" w:tplc="5F14E3B0">
      <w:start w:val="1"/>
      <w:numFmt w:val="bullet"/>
      <w:lvlText w:val="·"/>
      <w:lvlJc w:val="left"/>
      <w:pPr>
        <w:ind w:left="2880" w:hanging="360"/>
      </w:pPr>
      <w:rPr>
        <w:rFonts w:ascii="Symbol" w:eastAsia="Symbol" w:hAnsi="Symbol" w:cs="Symbol" w:hint="default"/>
      </w:rPr>
    </w:lvl>
    <w:lvl w:ilvl="4" w:tplc="66D46EAE">
      <w:start w:val="1"/>
      <w:numFmt w:val="bullet"/>
      <w:lvlText w:val="o"/>
      <w:lvlJc w:val="left"/>
      <w:pPr>
        <w:ind w:left="3600" w:hanging="360"/>
      </w:pPr>
      <w:rPr>
        <w:rFonts w:ascii="Courier New" w:eastAsia="Courier New" w:hAnsi="Courier New" w:cs="Courier New" w:hint="default"/>
      </w:rPr>
    </w:lvl>
    <w:lvl w:ilvl="5" w:tplc="894812B8">
      <w:start w:val="1"/>
      <w:numFmt w:val="bullet"/>
      <w:lvlText w:val="§"/>
      <w:lvlJc w:val="left"/>
      <w:pPr>
        <w:ind w:left="4320" w:hanging="360"/>
      </w:pPr>
      <w:rPr>
        <w:rFonts w:ascii="Wingdings" w:eastAsia="Wingdings" w:hAnsi="Wingdings" w:cs="Wingdings" w:hint="default"/>
      </w:rPr>
    </w:lvl>
    <w:lvl w:ilvl="6" w:tplc="8E246D9A">
      <w:start w:val="1"/>
      <w:numFmt w:val="bullet"/>
      <w:lvlText w:val="·"/>
      <w:lvlJc w:val="left"/>
      <w:pPr>
        <w:ind w:left="5040" w:hanging="360"/>
      </w:pPr>
      <w:rPr>
        <w:rFonts w:ascii="Symbol" w:eastAsia="Symbol" w:hAnsi="Symbol" w:cs="Symbol" w:hint="default"/>
      </w:rPr>
    </w:lvl>
    <w:lvl w:ilvl="7" w:tplc="1D828332">
      <w:start w:val="1"/>
      <w:numFmt w:val="bullet"/>
      <w:lvlText w:val="o"/>
      <w:lvlJc w:val="left"/>
      <w:pPr>
        <w:ind w:left="5760" w:hanging="360"/>
      </w:pPr>
      <w:rPr>
        <w:rFonts w:ascii="Courier New" w:eastAsia="Courier New" w:hAnsi="Courier New" w:cs="Courier New" w:hint="default"/>
      </w:rPr>
    </w:lvl>
    <w:lvl w:ilvl="8" w:tplc="BC78C72E">
      <w:start w:val="1"/>
      <w:numFmt w:val="bullet"/>
      <w:lvlText w:val="§"/>
      <w:lvlJc w:val="left"/>
      <w:pPr>
        <w:ind w:left="6480" w:hanging="360"/>
      </w:pPr>
      <w:rPr>
        <w:rFonts w:ascii="Wingdings" w:eastAsia="Wingdings" w:hAnsi="Wingdings" w:cs="Wingdings" w:hint="default"/>
      </w:rPr>
    </w:lvl>
  </w:abstractNum>
  <w:abstractNum w:abstractNumId="4" w15:restartNumberingAfterBreak="0">
    <w:nsid w:val="5F806EDC"/>
    <w:multiLevelType w:val="hybridMultilevel"/>
    <w:tmpl w:val="96CA42F2"/>
    <w:lvl w:ilvl="0" w:tplc="9B36D232">
      <w:start w:val="1"/>
      <w:numFmt w:val="decimal"/>
      <w:lvlText w:val="%1)"/>
      <w:lvlJc w:val="left"/>
      <w:pPr>
        <w:ind w:left="720" w:hanging="360"/>
      </w:pPr>
    </w:lvl>
    <w:lvl w:ilvl="1" w:tplc="5B928BDC">
      <w:start w:val="1"/>
      <w:numFmt w:val="lowerLetter"/>
      <w:lvlText w:val="%2."/>
      <w:lvlJc w:val="left"/>
      <w:pPr>
        <w:ind w:left="1440" w:hanging="360"/>
      </w:pPr>
    </w:lvl>
    <w:lvl w:ilvl="2" w:tplc="DDEE7A64">
      <w:start w:val="1"/>
      <w:numFmt w:val="lowerRoman"/>
      <w:lvlText w:val="%3."/>
      <w:lvlJc w:val="right"/>
      <w:pPr>
        <w:ind w:left="2160" w:hanging="180"/>
      </w:pPr>
    </w:lvl>
    <w:lvl w:ilvl="3" w:tplc="B946374E">
      <w:start w:val="1"/>
      <w:numFmt w:val="decimal"/>
      <w:lvlText w:val="%4."/>
      <w:lvlJc w:val="left"/>
      <w:pPr>
        <w:ind w:left="2880" w:hanging="360"/>
      </w:pPr>
    </w:lvl>
    <w:lvl w:ilvl="4" w:tplc="049C300C">
      <w:start w:val="1"/>
      <w:numFmt w:val="lowerLetter"/>
      <w:lvlText w:val="%5."/>
      <w:lvlJc w:val="left"/>
      <w:pPr>
        <w:ind w:left="3600" w:hanging="360"/>
      </w:pPr>
    </w:lvl>
    <w:lvl w:ilvl="5" w:tplc="8CCE37A2">
      <w:start w:val="1"/>
      <w:numFmt w:val="lowerRoman"/>
      <w:lvlText w:val="%6."/>
      <w:lvlJc w:val="right"/>
      <w:pPr>
        <w:ind w:left="4320" w:hanging="180"/>
      </w:pPr>
    </w:lvl>
    <w:lvl w:ilvl="6" w:tplc="B5CABE24">
      <w:start w:val="1"/>
      <w:numFmt w:val="decimal"/>
      <w:lvlText w:val="%7."/>
      <w:lvlJc w:val="left"/>
      <w:pPr>
        <w:ind w:left="5040" w:hanging="360"/>
      </w:pPr>
    </w:lvl>
    <w:lvl w:ilvl="7" w:tplc="F31E8DDA">
      <w:start w:val="1"/>
      <w:numFmt w:val="lowerLetter"/>
      <w:lvlText w:val="%8."/>
      <w:lvlJc w:val="left"/>
      <w:pPr>
        <w:ind w:left="5760" w:hanging="360"/>
      </w:pPr>
    </w:lvl>
    <w:lvl w:ilvl="8" w:tplc="8AE8670E">
      <w:start w:val="1"/>
      <w:numFmt w:val="lowerRoman"/>
      <w:lvlText w:val="%9."/>
      <w:lvlJc w:val="right"/>
      <w:pPr>
        <w:ind w:left="6480" w:hanging="180"/>
      </w:pPr>
    </w:lvl>
  </w:abstractNum>
  <w:abstractNum w:abstractNumId="5" w15:restartNumberingAfterBreak="0">
    <w:nsid w:val="6DD67C4F"/>
    <w:multiLevelType w:val="hybridMultilevel"/>
    <w:tmpl w:val="5EC88F5A"/>
    <w:lvl w:ilvl="0" w:tplc="E6BC4B78">
      <w:start w:val="1"/>
      <w:numFmt w:val="bullet"/>
      <w:lvlText w:val=""/>
      <w:lvlJc w:val="left"/>
      <w:pPr>
        <w:tabs>
          <w:tab w:val="num" w:pos="720"/>
        </w:tabs>
        <w:ind w:left="720" w:hanging="360"/>
      </w:pPr>
      <w:rPr>
        <w:rFonts w:ascii="Symbol" w:hAnsi="Symbol"/>
        <w:sz w:val="20"/>
      </w:rPr>
    </w:lvl>
    <w:lvl w:ilvl="1" w:tplc="A7A0374A">
      <w:start w:val="1"/>
      <w:numFmt w:val="bullet"/>
      <w:lvlText w:val="o"/>
      <w:lvlJc w:val="left"/>
      <w:pPr>
        <w:tabs>
          <w:tab w:val="num" w:pos="1440"/>
        </w:tabs>
        <w:ind w:left="1440" w:hanging="360"/>
      </w:pPr>
      <w:rPr>
        <w:rFonts w:ascii="Courier New" w:hAnsi="Courier New"/>
        <w:sz w:val="20"/>
      </w:rPr>
    </w:lvl>
    <w:lvl w:ilvl="2" w:tplc="60701CD8">
      <w:start w:val="1"/>
      <w:numFmt w:val="bullet"/>
      <w:lvlText w:val=""/>
      <w:lvlJc w:val="left"/>
      <w:pPr>
        <w:tabs>
          <w:tab w:val="num" w:pos="2160"/>
        </w:tabs>
        <w:ind w:left="2160" w:hanging="360"/>
      </w:pPr>
      <w:rPr>
        <w:rFonts w:ascii="Wingdings" w:hAnsi="Wingdings"/>
        <w:sz w:val="20"/>
      </w:rPr>
    </w:lvl>
    <w:lvl w:ilvl="3" w:tplc="01E6190A">
      <w:start w:val="1"/>
      <w:numFmt w:val="bullet"/>
      <w:lvlText w:val=""/>
      <w:lvlJc w:val="left"/>
      <w:pPr>
        <w:tabs>
          <w:tab w:val="num" w:pos="2880"/>
        </w:tabs>
        <w:ind w:left="2880" w:hanging="360"/>
      </w:pPr>
      <w:rPr>
        <w:rFonts w:ascii="Wingdings" w:hAnsi="Wingdings"/>
        <w:sz w:val="20"/>
      </w:rPr>
    </w:lvl>
    <w:lvl w:ilvl="4" w:tplc="DF2C1B8E">
      <w:start w:val="1"/>
      <w:numFmt w:val="bullet"/>
      <w:lvlText w:val=""/>
      <w:lvlJc w:val="left"/>
      <w:pPr>
        <w:tabs>
          <w:tab w:val="num" w:pos="3600"/>
        </w:tabs>
        <w:ind w:left="3600" w:hanging="360"/>
      </w:pPr>
      <w:rPr>
        <w:rFonts w:ascii="Wingdings" w:hAnsi="Wingdings"/>
        <w:sz w:val="20"/>
      </w:rPr>
    </w:lvl>
    <w:lvl w:ilvl="5" w:tplc="6212ECAA">
      <w:start w:val="1"/>
      <w:numFmt w:val="bullet"/>
      <w:lvlText w:val=""/>
      <w:lvlJc w:val="left"/>
      <w:pPr>
        <w:tabs>
          <w:tab w:val="num" w:pos="4320"/>
        </w:tabs>
        <w:ind w:left="4320" w:hanging="360"/>
      </w:pPr>
      <w:rPr>
        <w:rFonts w:ascii="Wingdings" w:hAnsi="Wingdings"/>
        <w:sz w:val="20"/>
      </w:rPr>
    </w:lvl>
    <w:lvl w:ilvl="6" w:tplc="B3181B16">
      <w:start w:val="1"/>
      <w:numFmt w:val="bullet"/>
      <w:lvlText w:val=""/>
      <w:lvlJc w:val="left"/>
      <w:pPr>
        <w:tabs>
          <w:tab w:val="num" w:pos="5040"/>
        </w:tabs>
        <w:ind w:left="5040" w:hanging="360"/>
      </w:pPr>
      <w:rPr>
        <w:rFonts w:ascii="Wingdings" w:hAnsi="Wingdings"/>
        <w:sz w:val="20"/>
      </w:rPr>
    </w:lvl>
    <w:lvl w:ilvl="7" w:tplc="98686A3A">
      <w:start w:val="1"/>
      <w:numFmt w:val="bullet"/>
      <w:lvlText w:val=""/>
      <w:lvlJc w:val="left"/>
      <w:pPr>
        <w:tabs>
          <w:tab w:val="num" w:pos="5760"/>
        </w:tabs>
        <w:ind w:left="5760" w:hanging="360"/>
      </w:pPr>
      <w:rPr>
        <w:rFonts w:ascii="Wingdings" w:hAnsi="Wingdings"/>
        <w:sz w:val="20"/>
      </w:rPr>
    </w:lvl>
    <w:lvl w:ilvl="8" w:tplc="B9BE31BC">
      <w:start w:val="1"/>
      <w:numFmt w:val="bullet"/>
      <w:lvlText w:val=""/>
      <w:lvlJc w:val="left"/>
      <w:pPr>
        <w:tabs>
          <w:tab w:val="num" w:pos="6480"/>
        </w:tabs>
        <w:ind w:left="6480" w:hanging="360"/>
      </w:pPr>
      <w:rPr>
        <w:rFonts w:ascii="Wingdings" w:hAnsi="Wingdings"/>
        <w:sz w:val="20"/>
      </w:rPr>
    </w:lvl>
  </w:abstractNum>
  <w:abstractNum w:abstractNumId="6" w15:restartNumberingAfterBreak="0">
    <w:nsid w:val="787E573E"/>
    <w:multiLevelType w:val="hybridMultilevel"/>
    <w:tmpl w:val="6A941734"/>
    <w:lvl w:ilvl="0" w:tplc="6B0AF3C6">
      <w:start w:val="1"/>
      <w:numFmt w:val="decimal"/>
      <w:lvlText w:val="%1)"/>
      <w:lvlJc w:val="left"/>
      <w:pPr>
        <w:ind w:left="907" w:hanging="360"/>
      </w:pPr>
    </w:lvl>
    <w:lvl w:ilvl="1" w:tplc="72849636">
      <w:start w:val="1"/>
      <w:numFmt w:val="lowerLetter"/>
      <w:lvlText w:val="%2."/>
      <w:lvlJc w:val="left"/>
      <w:pPr>
        <w:ind w:left="1627" w:hanging="360"/>
      </w:pPr>
    </w:lvl>
    <w:lvl w:ilvl="2" w:tplc="34449DB4">
      <w:start w:val="1"/>
      <w:numFmt w:val="lowerRoman"/>
      <w:lvlText w:val="%3."/>
      <w:lvlJc w:val="right"/>
      <w:pPr>
        <w:ind w:left="2347" w:hanging="180"/>
      </w:pPr>
    </w:lvl>
    <w:lvl w:ilvl="3" w:tplc="8D28B45C">
      <w:start w:val="1"/>
      <w:numFmt w:val="decimal"/>
      <w:lvlText w:val="%4."/>
      <w:lvlJc w:val="left"/>
      <w:pPr>
        <w:ind w:left="3067" w:hanging="360"/>
      </w:pPr>
    </w:lvl>
    <w:lvl w:ilvl="4" w:tplc="9FC85726">
      <w:start w:val="1"/>
      <w:numFmt w:val="lowerLetter"/>
      <w:lvlText w:val="%5."/>
      <w:lvlJc w:val="left"/>
      <w:pPr>
        <w:ind w:left="3787" w:hanging="360"/>
      </w:pPr>
    </w:lvl>
    <w:lvl w:ilvl="5" w:tplc="C480058A">
      <w:start w:val="1"/>
      <w:numFmt w:val="lowerRoman"/>
      <w:lvlText w:val="%6."/>
      <w:lvlJc w:val="right"/>
      <w:pPr>
        <w:ind w:left="4507" w:hanging="180"/>
      </w:pPr>
    </w:lvl>
    <w:lvl w:ilvl="6" w:tplc="E1C4B884">
      <w:start w:val="1"/>
      <w:numFmt w:val="decimal"/>
      <w:lvlText w:val="%7."/>
      <w:lvlJc w:val="left"/>
      <w:pPr>
        <w:ind w:left="5227" w:hanging="360"/>
      </w:pPr>
    </w:lvl>
    <w:lvl w:ilvl="7" w:tplc="10C26056">
      <w:start w:val="1"/>
      <w:numFmt w:val="lowerLetter"/>
      <w:lvlText w:val="%8."/>
      <w:lvlJc w:val="left"/>
      <w:pPr>
        <w:ind w:left="5947" w:hanging="360"/>
      </w:pPr>
    </w:lvl>
    <w:lvl w:ilvl="8" w:tplc="3C12D8AC">
      <w:start w:val="1"/>
      <w:numFmt w:val="lowerRoman"/>
      <w:lvlText w:val="%9."/>
      <w:lvlJc w:val="right"/>
      <w:pPr>
        <w:ind w:left="6667" w:hanging="180"/>
      </w:pPr>
    </w:lvl>
  </w:abstractNum>
  <w:abstractNum w:abstractNumId="7" w15:restartNumberingAfterBreak="0">
    <w:nsid w:val="7B1D52EF"/>
    <w:multiLevelType w:val="hybridMultilevel"/>
    <w:tmpl w:val="C0249A22"/>
    <w:lvl w:ilvl="0" w:tplc="9FFAD13E">
      <w:start w:val="1"/>
      <w:numFmt w:val="decimal"/>
      <w:lvlText w:val="%1)"/>
      <w:lvlJc w:val="left"/>
      <w:pPr>
        <w:ind w:left="907" w:hanging="360"/>
      </w:pPr>
    </w:lvl>
    <w:lvl w:ilvl="1" w:tplc="EE68BDF0">
      <w:start w:val="1"/>
      <w:numFmt w:val="lowerLetter"/>
      <w:lvlText w:val="%2."/>
      <w:lvlJc w:val="left"/>
      <w:pPr>
        <w:ind w:left="1627" w:hanging="360"/>
      </w:pPr>
    </w:lvl>
    <w:lvl w:ilvl="2" w:tplc="375C321C">
      <w:start w:val="1"/>
      <w:numFmt w:val="lowerRoman"/>
      <w:lvlText w:val="%3."/>
      <w:lvlJc w:val="right"/>
      <w:pPr>
        <w:ind w:left="2347" w:hanging="180"/>
      </w:pPr>
    </w:lvl>
    <w:lvl w:ilvl="3" w:tplc="AEB296B6">
      <w:start w:val="1"/>
      <w:numFmt w:val="decimal"/>
      <w:lvlText w:val="%4."/>
      <w:lvlJc w:val="left"/>
      <w:pPr>
        <w:ind w:left="3067" w:hanging="360"/>
      </w:pPr>
    </w:lvl>
    <w:lvl w:ilvl="4" w:tplc="3C18ACE0">
      <w:start w:val="1"/>
      <w:numFmt w:val="lowerLetter"/>
      <w:lvlText w:val="%5."/>
      <w:lvlJc w:val="left"/>
      <w:pPr>
        <w:ind w:left="3787" w:hanging="360"/>
      </w:pPr>
    </w:lvl>
    <w:lvl w:ilvl="5" w:tplc="BF4C7D60">
      <w:start w:val="1"/>
      <w:numFmt w:val="lowerRoman"/>
      <w:lvlText w:val="%6."/>
      <w:lvlJc w:val="right"/>
      <w:pPr>
        <w:ind w:left="4507" w:hanging="180"/>
      </w:pPr>
    </w:lvl>
    <w:lvl w:ilvl="6" w:tplc="5BA2B674">
      <w:start w:val="1"/>
      <w:numFmt w:val="decimal"/>
      <w:lvlText w:val="%7."/>
      <w:lvlJc w:val="left"/>
      <w:pPr>
        <w:ind w:left="5227" w:hanging="360"/>
      </w:pPr>
    </w:lvl>
    <w:lvl w:ilvl="7" w:tplc="33A22A82">
      <w:start w:val="1"/>
      <w:numFmt w:val="lowerLetter"/>
      <w:lvlText w:val="%8."/>
      <w:lvlJc w:val="left"/>
      <w:pPr>
        <w:ind w:left="5947" w:hanging="360"/>
      </w:pPr>
    </w:lvl>
    <w:lvl w:ilvl="8" w:tplc="2E746AB2">
      <w:start w:val="1"/>
      <w:numFmt w:val="lowerRoman"/>
      <w:lvlText w:val="%9."/>
      <w:lvlJc w:val="right"/>
      <w:pPr>
        <w:ind w:left="6667" w:hanging="180"/>
      </w:pPr>
    </w:lvl>
  </w:abstractNum>
  <w:num w:numId="1">
    <w:abstractNumId w:val="3"/>
  </w:num>
  <w:num w:numId="2">
    <w:abstractNumId w:val="5"/>
  </w:num>
  <w:num w:numId="3">
    <w:abstractNumId w:val="4"/>
  </w:num>
  <w:num w:numId="4">
    <w:abstractNumId w:val="7"/>
  </w:num>
  <w:num w:numId="5">
    <w:abstractNumId w:val="6"/>
  </w:num>
  <w:num w:numId="6">
    <w:abstractNumId w:val="0"/>
  </w:num>
  <w:num w:numId="7">
    <w:abstractNumId w:val="2"/>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F90EB7"/>
    <w:rsid w:val="001258AC"/>
    <w:rsid w:val="001911E8"/>
    <w:rsid w:val="0037011A"/>
    <w:rsid w:val="003C2EA8"/>
    <w:rsid w:val="004321DE"/>
    <w:rsid w:val="004E1E4D"/>
    <w:rsid w:val="004F410F"/>
    <w:rsid w:val="005700F0"/>
    <w:rsid w:val="005B0CED"/>
    <w:rsid w:val="005D3558"/>
    <w:rsid w:val="005F589D"/>
    <w:rsid w:val="005F6449"/>
    <w:rsid w:val="005F6C1B"/>
    <w:rsid w:val="00606B18"/>
    <w:rsid w:val="0065437B"/>
    <w:rsid w:val="006C3A21"/>
    <w:rsid w:val="006C6CAB"/>
    <w:rsid w:val="007E7836"/>
    <w:rsid w:val="00881740"/>
    <w:rsid w:val="009979CD"/>
    <w:rsid w:val="009A3E78"/>
    <w:rsid w:val="00AE17AC"/>
    <w:rsid w:val="00BC2984"/>
    <w:rsid w:val="00BC5586"/>
    <w:rsid w:val="00BF7077"/>
    <w:rsid w:val="00C64E7E"/>
    <w:rsid w:val="00C811EE"/>
    <w:rsid w:val="00CE6D17"/>
    <w:rsid w:val="00D07047"/>
    <w:rsid w:val="00D30E0C"/>
    <w:rsid w:val="00E11A1D"/>
    <w:rsid w:val="00E43F8E"/>
    <w:rsid w:val="00E857ED"/>
    <w:rsid w:val="00F90EB7"/>
    <w:rsid w:val="00FF395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docId w15:val="{C51CBCD5-2B1D-4A0C-967F-BA84AF5865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rPr>
      <w:sz w:val="24"/>
      <w:szCs w:val="24"/>
    </w:rPr>
  </w:style>
  <w:style w:type="paragraph" w:styleId="1">
    <w:name w:val="heading 1"/>
    <w:basedOn w:val="a"/>
    <w:next w:val="a"/>
    <w:link w:val="10"/>
    <w:uiPriority w:val="9"/>
    <w:qFormat/>
    <w:pPr>
      <w:keepNext/>
      <w:keepLines/>
      <w:spacing w:before="480" w:after="200"/>
      <w:outlineLvl w:val="0"/>
    </w:pPr>
    <w:rPr>
      <w:rFonts w:ascii="Arial" w:eastAsia="Arial" w:hAnsi="Arial" w:cs="Arial"/>
      <w:sz w:val="40"/>
      <w:szCs w:val="40"/>
    </w:rPr>
  </w:style>
  <w:style w:type="paragraph" w:styleId="2">
    <w:name w:val="heading 2"/>
    <w:basedOn w:val="a"/>
    <w:next w:val="a"/>
    <w:link w:val="20"/>
    <w:uiPriority w:val="9"/>
    <w:unhideWhenUsed/>
    <w:qFormat/>
    <w:pPr>
      <w:keepNext/>
      <w:keepLines/>
      <w:spacing w:before="360" w:after="200"/>
      <w:outlineLvl w:val="1"/>
    </w:pPr>
    <w:rPr>
      <w:rFonts w:ascii="Arial" w:eastAsia="Arial" w:hAnsi="Arial" w:cs="Arial"/>
      <w:sz w:val="34"/>
    </w:rPr>
  </w:style>
  <w:style w:type="paragraph" w:styleId="3">
    <w:name w:val="heading 3"/>
    <w:basedOn w:val="a"/>
    <w:link w:val="30"/>
    <w:qFormat/>
    <w:pPr>
      <w:spacing w:before="100" w:beforeAutospacing="1" w:after="100" w:afterAutospacing="1"/>
      <w:outlineLvl w:val="2"/>
    </w:pPr>
    <w:rPr>
      <w:b/>
      <w:bCs/>
      <w:sz w:val="27"/>
      <w:szCs w:val="27"/>
    </w:rPr>
  </w:style>
  <w:style w:type="paragraph" w:styleId="4">
    <w:name w:val="heading 4"/>
    <w:basedOn w:val="a"/>
    <w:next w:val="a"/>
    <w:link w:val="40"/>
    <w:uiPriority w:val="9"/>
    <w:unhideWhenUsed/>
    <w:qFormat/>
    <w:pPr>
      <w:keepNext/>
      <w:keepLines/>
      <w:spacing w:before="320" w:after="200"/>
      <w:outlineLvl w:val="3"/>
    </w:pPr>
    <w:rPr>
      <w:rFonts w:ascii="Arial" w:eastAsia="Arial" w:hAnsi="Arial" w:cs="Arial"/>
      <w:b/>
      <w:bCs/>
      <w:sz w:val="26"/>
      <w:szCs w:val="26"/>
    </w:rPr>
  </w:style>
  <w:style w:type="paragraph" w:styleId="5">
    <w:name w:val="heading 5"/>
    <w:basedOn w:val="a"/>
    <w:next w:val="a"/>
    <w:link w:val="50"/>
    <w:uiPriority w:val="9"/>
    <w:unhideWhenUsed/>
    <w:qFormat/>
    <w:pPr>
      <w:keepNext/>
      <w:keepLines/>
      <w:spacing w:before="320" w:after="200"/>
      <w:outlineLvl w:val="4"/>
    </w:pPr>
    <w:rPr>
      <w:rFonts w:ascii="Arial" w:eastAsia="Arial" w:hAnsi="Arial" w:cs="Arial"/>
      <w:b/>
      <w:bCs/>
    </w:rPr>
  </w:style>
  <w:style w:type="paragraph" w:styleId="6">
    <w:name w:val="heading 6"/>
    <w:basedOn w:val="a"/>
    <w:next w:val="a"/>
    <w:link w:val="60"/>
    <w:uiPriority w:val="9"/>
    <w:unhideWhenUsed/>
    <w:qFormat/>
    <w:pPr>
      <w:keepNext/>
      <w:keepLines/>
      <w:spacing w:before="320" w:after="200"/>
      <w:outlineLvl w:val="5"/>
    </w:pPr>
    <w:rPr>
      <w:rFonts w:ascii="Arial" w:eastAsia="Arial" w:hAnsi="Arial" w:cs="Arial"/>
      <w:b/>
      <w:bCs/>
      <w:sz w:val="22"/>
      <w:szCs w:val="22"/>
    </w:rPr>
  </w:style>
  <w:style w:type="paragraph" w:styleId="7">
    <w:name w:val="heading 7"/>
    <w:basedOn w:val="a"/>
    <w:next w:val="a"/>
    <w:link w:val="70"/>
    <w:uiPriority w:val="9"/>
    <w:unhideWhenUsed/>
    <w:qFormat/>
    <w:pPr>
      <w:keepNext/>
      <w:keepLines/>
      <w:spacing w:before="320" w:after="200"/>
      <w:outlineLvl w:val="6"/>
    </w:pPr>
    <w:rPr>
      <w:rFonts w:ascii="Arial" w:eastAsia="Arial" w:hAnsi="Arial" w:cs="Arial"/>
      <w:b/>
      <w:bCs/>
      <w:i/>
      <w:iCs/>
      <w:sz w:val="22"/>
      <w:szCs w:val="22"/>
    </w:rPr>
  </w:style>
  <w:style w:type="paragraph" w:styleId="8">
    <w:name w:val="heading 8"/>
    <w:basedOn w:val="a"/>
    <w:next w:val="a"/>
    <w:link w:val="80"/>
    <w:uiPriority w:val="9"/>
    <w:unhideWhenUsed/>
    <w:qFormat/>
    <w:pPr>
      <w:keepNext/>
      <w:keepLines/>
      <w:spacing w:before="320" w:after="200"/>
      <w:outlineLvl w:val="7"/>
    </w:pPr>
    <w:rPr>
      <w:rFonts w:ascii="Arial" w:eastAsia="Arial" w:hAnsi="Arial" w:cs="Arial"/>
      <w:i/>
      <w:iCs/>
      <w:sz w:val="22"/>
      <w:szCs w:val="22"/>
    </w:rPr>
  </w:style>
  <w:style w:type="paragraph" w:styleId="9">
    <w:name w:val="heading 9"/>
    <w:basedOn w:val="a"/>
    <w:next w:val="a"/>
    <w:link w:val="90"/>
    <w:uiPriority w:val="9"/>
    <w:unhideWhenUsed/>
    <w:qFormat/>
    <w:pPr>
      <w:keepNext/>
      <w:keepLines/>
      <w:spacing w:before="320" w:after="200"/>
      <w:outlineLvl w:val="8"/>
    </w:pPr>
    <w:rPr>
      <w:rFonts w:ascii="Arial" w:eastAsia="Arial" w:hAnsi="Arial" w:cs="Arial"/>
      <w:i/>
      <w:iCs/>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
    <w:rPr>
      <w:rFonts w:ascii="Arial" w:eastAsia="Arial" w:hAnsi="Arial" w:cs="Arial"/>
      <w:sz w:val="40"/>
      <w:szCs w:val="40"/>
    </w:rPr>
  </w:style>
  <w:style w:type="character" w:customStyle="1" w:styleId="20">
    <w:name w:val="Заголовок 2 Знак"/>
    <w:link w:val="2"/>
    <w:uiPriority w:val="9"/>
    <w:rPr>
      <w:rFonts w:ascii="Arial" w:eastAsia="Arial" w:hAnsi="Arial" w:cs="Arial"/>
      <w:sz w:val="34"/>
    </w:rPr>
  </w:style>
  <w:style w:type="character" w:customStyle="1" w:styleId="30">
    <w:name w:val="Заголовок 3 Знак"/>
    <w:link w:val="3"/>
    <w:uiPriority w:val="9"/>
    <w:rPr>
      <w:rFonts w:ascii="Arial" w:eastAsia="Arial" w:hAnsi="Arial" w:cs="Arial"/>
      <w:sz w:val="30"/>
      <w:szCs w:val="30"/>
    </w:rPr>
  </w:style>
  <w:style w:type="character" w:customStyle="1" w:styleId="40">
    <w:name w:val="Заголовок 4 Знак"/>
    <w:link w:val="4"/>
    <w:uiPriority w:val="9"/>
    <w:rPr>
      <w:rFonts w:ascii="Arial" w:eastAsia="Arial" w:hAnsi="Arial" w:cs="Arial"/>
      <w:b/>
      <w:bCs/>
      <w:sz w:val="26"/>
      <w:szCs w:val="26"/>
    </w:rPr>
  </w:style>
  <w:style w:type="character" w:customStyle="1" w:styleId="50">
    <w:name w:val="Заголовок 5 Знак"/>
    <w:link w:val="5"/>
    <w:uiPriority w:val="9"/>
    <w:rPr>
      <w:rFonts w:ascii="Arial" w:eastAsia="Arial" w:hAnsi="Arial" w:cs="Arial"/>
      <w:b/>
      <w:bCs/>
      <w:sz w:val="24"/>
      <w:szCs w:val="24"/>
    </w:rPr>
  </w:style>
  <w:style w:type="character" w:customStyle="1" w:styleId="60">
    <w:name w:val="Заголовок 6 Знак"/>
    <w:link w:val="6"/>
    <w:uiPriority w:val="9"/>
    <w:rPr>
      <w:rFonts w:ascii="Arial" w:eastAsia="Arial" w:hAnsi="Arial" w:cs="Arial"/>
      <w:b/>
      <w:bCs/>
      <w:sz w:val="22"/>
      <w:szCs w:val="22"/>
    </w:rPr>
  </w:style>
  <w:style w:type="character" w:customStyle="1" w:styleId="70">
    <w:name w:val="Заголовок 7 Знак"/>
    <w:link w:val="7"/>
    <w:uiPriority w:val="9"/>
    <w:rPr>
      <w:rFonts w:ascii="Arial" w:eastAsia="Arial" w:hAnsi="Arial" w:cs="Arial"/>
      <w:b/>
      <w:bCs/>
      <w:i/>
      <w:iCs/>
      <w:sz w:val="22"/>
      <w:szCs w:val="22"/>
    </w:rPr>
  </w:style>
  <w:style w:type="character" w:customStyle="1" w:styleId="80">
    <w:name w:val="Заголовок 8 Знак"/>
    <w:link w:val="8"/>
    <w:uiPriority w:val="9"/>
    <w:rPr>
      <w:rFonts w:ascii="Arial" w:eastAsia="Arial" w:hAnsi="Arial" w:cs="Arial"/>
      <w:i/>
      <w:iCs/>
      <w:sz w:val="22"/>
      <w:szCs w:val="22"/>
    </w:rPr>
  </w:style>
  <w:style w:type="character" w:customStyle="1" w:styleId="90">
    <w:name w:val="Заголовок 9 Знак"/>
    <w:link w:val="9"/>
    <w:uiPriority w:val="9"/>
    <w:rPr>
      <w:rFonts w:ascii="Arial" w:eastAsia="Arial" w:hAnsi="Arial" w:cs="Arial"/>
      <w:i/>
      <w:iCs/>
      <w:sz w:val="21"/>
      <w:szCs w:val="21"/>
    </w:rPr>
  </w:style>
  <w:style w:type="paragraph" w:styleId="a3">
    <w:name w:val="List Paragraph"/>
    <w:basedOn w:val="a"/>
    <w:uiPriority w:val="34"/>
    <w:qFormat/>
    <w:pPr>
      <w:spacing w:after="200" w:line="276" w:lineRule="auto"/>
      <w:ind w:left="720"/>
      <w:contextualSpacing/>
    </w:pPr>
    <w:rPr>
      <w:rFonts w:ascii="Calibri" w:hAnsi="Calibri"/>
      <w:sz w:val="22"/>
      <w:szCs w:val="22"/>
    </w:rPr>
  </w:style>
  <w:style w:type="paragraph" w:styleId="a4">
    <w:name w:val="No Spacing"/>
    <w:uiPriority w:val="1"/>
    <w:qFormat/>
    <w:rPr>
      <w:lang w:eastAsia="zh-CN"/>
    </w:rPr>
  </w:style>
  <w:style w:type="paragraph" w:styleId="a5">
    <w:name w:val="Title"/>
    <w:basedOn w:val="a"/>
    <w:next w:val="a"/>
    <w:link w:val="a6"/>
    <w:uiPriority w:val="10"/>
    <w:qFormat/>
    <w:pPr>
      <w:spacing w:before="300" w:after="200"/>
      <w:contextualSpacing/>
    </w:pPr>
    <w:rPr>
      <w:sz w:val="48"/>
      <w:szCs w:val="48"/>
    </w:rPr>
  </w:style>
  <w:style w:type="character" w:customStyle="1" w:styleId="a6">
    <w:name w:val="Заголовок Знак"/>
    <w:link w:val="a5"/>
    <w:uiPriority w:val="10"/>
    <w:rPr>
      <w:sz w:val="48"/>
      <w:szCs w:val="48"/>
    </w:rPr>
  </w:style>
  <w:style w:type="paragraph" w:styleId="a7">
    <w:name w:val="Subtitle"/>
    <w:basedOn w:val="a"/>
    <w:next w:val="a"/>
    <w:link w:val="a8"/>
    <w:uiPriority w:val="11"/>
    <w:qFormat/>
    <w:pPr>
      <w:spacing w:before="200" w:after="200"/>
    </w:pPr>
  </w:style>
  <w:style w:type="character" w:customStyle="1" w:styleId="a8">
    <w:name w:val="Подзаголовок Знак"/>
    <w:link w:val="a7"/>
    <w:uiPriority w:val="11"/>
    <w:rPr>
      <w:sz w:val="24"/>
      <w:szCs w:val="24"/>
    </w:rPr>
  </w:style>
  <w:style w:type="paragraph" w:styleId="21">
    <w:name w:val="Quote"/>
    <w:basedOn w:val="a"/>
    <w:next w:val="a"/>
    <w:link w:val="22"/>
    <w:uiPriority w:val="29"/>
    <w:qFormat/>
    <w:pPr>
      <w:ind w:left="720" w:right="720"/>
    </w:pPr>
    <w:rPr>
      <w:i/>
    </w:rPr>
  </w:style>
  <w:style w:type="character" w:customStyle="1" w:styleId="22">
    <w:name w:val="Цитата 2 Знак"/>
    <w:link w:val="21"/>
    <w:uiPriority w:val="29"/>
    <w:rPr>
      <w:i/>
    </w:rPr>
  </w:style>
  <w:style w:type="paragraph" w:styleId="a9">
    <w:name w:val="Intense Quote"/>
    <w:basedOn w:val="a"/>
    <w:next w:val="a"/>
    <w:link w:val="aa"/>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a">
    <w:name w:val="Выделенная цитата Знак"/>
    <w:link w:val="a9"/>
    <w:uiPriority w:val="30"/>
    <w:rPr>
      <w:i/>
    </w:rPr>
  </w:style>
  <w:style w:type="paragraph" w:styleId="ab">
    <w:name w:val="header"/>
    <w:basedOn w:val="a"/>
    <w:link w:val="ac"/>
    <w:uiPriority w:val="99"/>
    <w:unhideWhenUsed/>
    <w:pPr>
      <w:tabs>
        <w:tab w:val="center" w:pos="7143"/>
        <w:tab w:val="right" w:pos="14287"/>
      </w:tabs>
    </w:pPr>
  </w:style>
  <w:style w:type="character" w:customStyle="1" w:styleId="ac">
    <w:name w:val="Верхний колонтитул Знак"/>
    <w:link w:val="ab"/>
    <w:uiPriority w:val="99"/>
  </w:style>
  <w:style w:type="paragraph" w:styleId="ad">
    <w:name w:val="footer"/>
    <w:basedOn w:val="a"/>
    <w:link w:val="ae"/>
    <w:uiPriority w:val="99"/>
    <w:unhideWhenUsed/>
    <w:pPr>
      <w:tabs>
        <w:tab w:val="center" w:pos="7143"/>
        <w:tab w:val="right" w:pos="14287"/>
      </w:tabs>
    </w:pPr>
  </w:style>
  <w:style w:type="character" w:customStyle="1" w:styleId="FooterChar">
    <w:name w:val="Footer Char"/>
    <w:uiPriority w:val="99"/>
  </w:style>
  <w:style w:type="paragraph" w:styleId="af">
    <w:name w:val="caption"/>
    <w:basedOn w:val="a"/>
    <w:next w:val="a"/>
    <w:uiPriority w:val="35"/>
    <w:semiHidden/>
    <w:unhideWhenUsed/>
    <w:qFormat/>
    <w:pPr>
      <w:spacing w:line="276" w:lineRule="auto"/>
    </w:pPr>
    <w:rPr>
      <w:b/>
      <w:bCs/>
      <w:color w:val="4F81BD"/>
      <w:sz w:val="18"/>
      <w:szCs w:val="18"/>
    </w:rPr>
  </w:style>
  <w:style w:type="character" w:customStyle="1" w:styleId="ae">
    <w:name w:val="Нижний колонтитул Знак"/>
    <w:link w:val="ad"/>
    <w:uiPriority w:val="99"/>
  </w:style>
  <w:style w:type="table" w:styleId="af0">
    <w:name w:val="Table Grid"/>
    <w:basedOn w:val="a1"/>
    <w:tblPr/>
  </w:style>
  <w:style w:type="table" w:customStyle="1" w:styleId="TableGridLight">
    <w:name w:val="Table Grid Light"/>
    <w:uiPriority w:val="59"/>
    <w:rPr>
      <w:lang w:eastAsia="zh-CN"/>
    </w:rPr>
    <w:tblPr>
      <w:tblInd w:w="0" w:type="dxa"/>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styleId="11">
    <w:name w:val="Plain Table 1"/>
    <w:uiPriority w:val="59"/>
    <w:rPr>
      <w:lang w:eastAsia="zh-CN"/>
    </w:rPr>
    <w:tblPr>
      <w:tblInd w:w="0" w:type="dxa"/>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styleId="23">
    <w:name w:val="Plain Table 2"/>
    <w:uiPriority w:val="59"/>
    <w:rPr>
      <w:lang w:eastAsia="zh-CN"/>
    </w:rPr>
    <w:tblPr>
      <w:tblInd w:w="0" w:type="dxa"/>
      <w:tblBorders>
        <w:top w:val="single" w:sz="4" w:space="0" w:color="000000"/>
        <w:left w:val="none" w:sz="4" w:space="0" w:color="000000"/>
        <w:bottom w:val="single" w:sz="4" w:space="0" w:color="000000"/>
        <w:right w:val="none" w:sz="4" w:space="0" w:color="000000"/>
      </w:tblBorders>
      <w:tblCellMar>
        <w:top w:w="0" w:type="dxa"/>
        <w:left w:w="108" w:type="dxa"/>
        <w:bottom w:w="0" w:type="dxa"/>
        <w:right w:w="108" w:type="dxa"/>
      </w:tblCellMar>
    </w:tblPr>
  </w:style>
  <w:style w:type="table" w:styleId="31">
    <w:name w:val="Plain Table 3"/>
    <w:uiPriority w:val="99"/>
    <w:rPr>
      <w:lang w:eastAsia="zh-CN"/>
    </w:rPr>
    <w:tblPr>
      <w:tblStyleRowBandSize w:val="1"/>
      <w:tblStyleColBandSize w:val="1"/>
      <w:tblInd w:w="0" w:type="dxa"/>
      <w:tblCellMar>
        <w:top w:w="0" w:type="dxa"/>
        <w:left w:w="0" w:type="dxa"/>
        <w:bottom w:w="0" w:type="dxa"/>
        <w:right w:w="0" w:type="dxa"/>
      </w:tblCellMar>
    </w:tblPr>
  </w:style>
  <w:style w:type="table" w:styleId="41">
    <w:name w:val="Plain Table 4"/>
    <w:uiPriority w:val="99"/>
    <w:rPr>
      <w:lang w:eastAsia="zh-CN"/>
    </w:rPr>
    <w:tblPr>
      <w:tblStyleRowBandSize w:val="1"/>
      <w:tblStyleColBandSize w:val="1"/>
      <w:tblInd w:w="0" w:type="dxa"/>
      <w:tblCellMar>
        <w:top w:w="0" w:type="dxa"/>
        <w:left w:w="0" w:type="dxa"/>
        <w:bottom w:w="0" w:type="dxa"/>
        <w:right w:w="0" w:type="dxa"/>
      </w:tblCellMar>
    </w:tblPr>
  </w:style>
  <w:style w:type="table" w:styleId="51">
    <w:name w:val="Plain Table 5"/>
    <w:uiPriority w:val="99"/>
    <w:rPr>
      <w:lang w:eastAsia="zh-CN"/>
    </w:rPr>
    <w:tblPr>
      <w:tblStyleRowBandSize w:val="1"/>
      <w:tblStyleColBandSize w:val="1"/>
      <w:tblInd w:w="0" w:type="dxa"/>
      <w:tblCellMar>
        <w:top w:w="0" w:type="dxa"/>
        <w:left w:w="0" w:type="dxa"/>
        <w:bottom w:w="0" w:type="dxa"/>
        <w:right w:w="0" w:type="dxa"/>
      </w:tblCellMar>
    </w:tblPr>
  </w:style>
  <w:style w:type="table" w:styleId="-1">
    <w:name w:val="Grid Table 1 Light"/>
    <w:uiPriority w:val="99"/>
    <w:rPr>
      <w:lang w:eastAsia="zh-CN"/>
    </w:rPr>
    <w:tblPr>
      <w:tblStyleRowBandSize w:val="1"/>
      <w:tblStyleColBandSize w:val="1"/>
      <w:tblInd w:w="0" w:type="dxa"/>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CellMar>
        <w:top w:w="0" w:type="dxa"/>
        <w:left w:w="0" w:type="dxa"/>
        <w:bottom w:w="0" w:type="dxa"/>
        <w:right w:w="0" w:type="dxa"/>
      </w:tblCellMar>
    </w:tblPr>
  </w:style>
  <w:style w:type="table" w:customStyle="1" w:styleId="GridTable1Light-Accent1">
    <w:name w:val="Grid Table 1 Light - Accent 1"/>
    <w:uiPriority w:val="99"/>
    <w:rPr>
      <w:lang w:eastAsia="zh-CN"/>
    </w:rPr>
    <w:tblPr>
      <w:tblStyleRowBandSize w:val="1"/>
      <w:tblStyleColBandSize w:val="1"/>
      <w:tblInd w:w="0" w:type="dxa"/>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style>
  <w:style w:type="table" w:customStyle="1" w:styleId="GridTable1Light-Accent2">
    <w:name w:val="Grid Table 1 Light - Accent 2"/>
    <w:uiPriority w:val="99"/>
    <w:rPr>
      <w:lang w:eastAsia="zh-CN"/>
    </w:rPr>
    <w:tblPr>
      <w:tblStyleRowBandSize w:val="1"/>
      <w:tblStyleColBandSize w:val="1"/>
      <w:tblInd w:w="0" w:type="dxa"/>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style>
  <w:style w:type="table" w:customStyle="1" w:styleId="GridTable1Light-Accent3">
    <w:name w:val="Grid Table 1 Light - Accent 3"/>
    <w:uiPriority w:val="99"/>
    <w:rPr>
      <w:lang w:eastAsia="zh-CN"/>
    </w:rPr>
    <w:tblPr>
      <w:tblStyleRowBandSize w:val="1"/>
      <w:tblStyleColBandSize w:val="1"/>
      <w:tblInd w:w="0" w:type="dxa"/>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style>
  <w:style w:type="table" w:customStyle="1" w:styleId="GridTable1Light-Accent4">
    <w:name w:val="Grid Table 1 Light - Accent 4"/>
    <w:uiPriority w:val="99"/>
    <w:rPr>
      <w:lang w:eastAsia="zh-CN"/>
    </w:rPr>
    <w:tblPr>
      <w:tblStyleRowBandSize w:val="1"/>
      <w:tblStyleColBandSize w:val="1"/>
      <w:tblInd w:w="0" w:type="dxa"/>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style>
  <w:style w:type="table" w:customStyle="1" w:styleId="GridTable1Light-Accent5">
    <w:name w:val="Grid Table 1 Light - Accent 5"/>
    <w:uiPriority w:val="99"/>
    <w:rPr>
      <w:lang w:eastAsia="zh-CN"/>
    </w:rPr>
    <w:tblPr>
      <w:tblStyleRowBandSize w:val="1"/>
      <w:tblStyleColBandSize w:val="1"/>
      <w:tblInd w:w="0" w:type="dxa"/>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style>
  <w:style w:type="table" w:customStyle="1" w:styleId="GridTable1Light-Accent6">
    <w:name w:val="Grid Table 1 Light - Accent 6"/>
    <w:uiPriority w:val="99"/>
    <w:rPr>
      <w:lang w:eastAsia="zh-CN"/>
    </w:rPr>
    <w:tblPr>
      <w:tblStyleRowBandSize w:val="1"/>
      <w:tblStyleColBandSize w:val="1"/>
      <w:tblInd w:w="0" w:type="dxa"/>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style>
  <w:style w:type="table" w:styleId="-2">
    <w:name w:val="Grid Table 2"/>
    <w:uiPriority w:val="99"/>
    <w:rPr>
      <w:lang w:eastAsia="zh-CN"/>
    </w:rPr>
    <w:tblPr>
      <w:tblStyleRowBandSize w:val="1"/>
      <w:tblStyleColBandSize w:val="1"/>
      <w:tblInd w:w="0" w:type="dxa"/>
      <w:tblBorders>
        <w:bottom w:val="single" w:sz="4" w:space="0" w:color="6A6A6A"/>
        <w:insideH w:val="single" w:sz="4" w:space="0" w:color="6A6A6A"/>
        <w:insideV w:val="single" w:sz="4" w:space="0" w:color="6A6A6A"/>
      </w:tblBorders>
      <w:tblCellMar>
        <w:top w:w="0" w:type="dxa"/>
        <w:left w:w="0" w:type="dxa"/>
        <w:bottom w:w="0" w:type="dxa"/>
        <w:right w:w="0" w:type="dxa"/>
      </w:tblCellMar>
    </w:tblPr>
  </w:style>
  <w:style w:type="table" w:customStyle="1" w:styleId="GridTable2-Accent1">
    <w:name w:val="Grid Table 2 - Accent 1"/>
    <w:uiPriority w:val="99"/>
    <w:rPr>
      <w:lang w:eastAsia="zh-CN"/>
    </w:rPr>
    <w:tblPr>
      <w:tblStyleRowBandSize w:val="1"/>
      <w:tblStyleColBandSize w:val="1"/>
      <w:tblInd w:w="0" w:type="dxa"/>
      <w:tblBorders>
        <w:bottom w:val="single" w:sz="4" w:space="0" w:color="5D8AC2"/>
        <w:insideH w:val="single" w:sz="4" w:space="0" w:color="5D8AC2"/>
        <w:insideV w:val="single" w:sz="4" w:space="0" w:color="5D8AC2"/>
      </w:tblBorders>
      <w:tblCellMar>
        <w:top w:w="0" w:type="dxa"/>
        <w:left w:w="0" w:type="dxa"/>
        <w:bottom w:w="0" w:type="dxa"/>
        <w:right w:w="0" w:type="dxa"/>
      </w:tblCellMar>
    </w:tblPr>
  </w:style>
  <w:style w:type="table" w:customStyle="1" w:styleId="GridTable2-Accent2">
    <w:name w:val="Grid Table 2 - Accent 2"/>
    <w:uiPriority w:val="99"/>
    <w:rPr>
      <w:lang w:eastAsia="zh-CN"/>
    </w:rPr>
    <w:tblPr>
      <w:tblStyleRowBandSize w:val="1"/>
      <w:tblStyleColBandSize w:val="1"/>
      <w:tblInd w:w="0" w:type="dxa"/>
      <w:tblBorders>
        <w:bottom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GridTable2-Accent3">
    <w:name w:val="Grid Table 2 - Accent 3"/>
    <w:uiPriority w:val="99"/>
    <w:rPr>
      <w:lang w:eastAsia="zh-CN"/>
    </w:rPr>
    <w:tblPr>
      <w:tblStyleRowBandSize w:val="1"/>
      <w:tblStyleColBandSize w:val="1"/>
      <w:tblInd w:w="0" w:type="dxa"/>
      <w:tblBorders>
        <w:bottom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GridTable2-Accent4">
    <w:name w:val="Grid Table 2 - Accent 4"/>
    <w:uiPriority w:val="99"/>
    <w:rPr>
      <w:lang w:eastAsia="zh-CN"/>
    </w:rPr>
    <w:tblPr>
      <w:tblStyleRowBandSize w:val="1"/>
      <w:tblStyleColBandSize w:val="1"/>
      <w:tblInd w:w="0" w:type="dxa"/>
      <w:tblBorders>
        <w:bottom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GridTable2-Accent5">
    <w:name w:val="Grid Table 2 - Accent 5"/>
    <w:uiPriority w:val="99"/>
    <w:rPr>
      <w:lang w:eastAsia="zh-CN"/>
    </w:rPr>
    <w:tblPr>
      <w:tblStyleRowBandSize w:val="1"/>
      <w:tblStyleColBandSize w:val="1"/>
      <w:tblInd w:w="0" w:type="dxa"/>
      <w:tblBorders>
        <w:bottom w:val="single" w:sz="4" w:space="0" w:color="4BACC6"/>
        <w:insideH w:val="single" w:sz="4" w:space="0" w:color="4BACC6"/>
        <w:insideV w:val="single" w:sz="4" w:space="0" w:color="4BACC6"/>
      </w:tblBorders>
      <w:tblCellMar>
        <w:top w:w="0" w:type="dxa"/>
        <w:left w:w="0" w:type="dxa"/>
        <w:bottom w:w="0" w:type="dxa"/>
        <w:right w:w="0" w:type="dxa"/>
      </w:tblCellMar>
    </w:tblPr>
  </w:style>
  <w:style w:type="table" w:customStyle="1" w:styleId="GridTable2-Accent6">
    <w:name w:val="Grid Table 2 - Accent 6"/>
    <w:uiPriority w:val="99"/>
    <w:rPr>
      <w:lang w:eastAsia="zh-CN"/>
    </w:rPr>
    <w:tblPr>
      <w:tblStyleRowBandSize w:val="1"/>
      <w:tblStyleColBandSize w:val="1"/>
      <w:tblInd w:w="0" w:type="dxa"/>
      <w:tblBorders>
        <w:bottom w:val="single" w:sz="4" w:space="0" w:color="F79646"/>
        <w:insideH w:val="single" w:sz="4" w:space="0" w:color="F79646"/>
        <w:insideV w:val="single" w:sz="4" w:space="0" w:color="F79646"/>
      </w:tblBorders>
      <w:tblCellMar>
        <w:top w:w="0" w:type="dxa"/>
        <w:left w:w="0" w:type="dxa"/>
        <w:bottom w:w="0" w:type="dxa"/>
        <w:right w:w="0" w:type="dxa"/>
      </w:tblCellMar>
    </w:tblPr>
  </w:style>
  <w:style w:type="table" w:styleId="-3">
    <w:name w:val="Grid Table 3"/>
    <w:uiPriority w:val="99"/>
    <w:rPr>
      <w:lang w:eastAsia="zh-CN"/>
    </w:rPr>
    <w:tblPr>
      <w:tblStyleRowBandSize w:val="1"/>
      <w:tblStyleColBandSize w:val="1"/>
      <w:tblInd w:w="0" w:type="dxa"/>
      <w:tblBorders>
        <w:bottom w:val="single" w:sz="4" w:space="0" w:color="6A6A6A"/>
        <w:insideH w:val="single" w:sz="4" w:space="0" w:color="6A6A6A"/>
        <w:insideV w:val="single" w:sz="4" w:space="0" w:color="6A6A6A"/>
      </w:tblBorders>
      <w:tblCellMar>
        <w:top w:w="0" w:type="dxa"/>
        <w:left w:w="0" w:type="dxa"/>
        <w:bottom w:w="0" w:type="dxa"/>
        <w:right w:w="0" w:type="dxa"/>
      </w:tblCellMar>
    </w:tblPr>
  </w:style>
  <w:style w:type="table" w:customStyle="1" w:styleId="GridTable3-Accent1">
    <w:name w:val="Grid Table 3 - Accent 1"/>
    <w:uiPriority w:val="99"/>
    <w:rPr>
      <w:lang w:eastAsia="zh-CN"/>
    </w:rPr>
    <w:tblPr>
      <w:tblStyleRowBandSize w:val="1"/>
      <w:tblStyleColBandSize w:val="1"/>
      <w:tblInd w:w="0" w:type="dxa"/>
      <w:tblBorders>
        <w:bottom w:val="single" w:sz="4" w:space="0" w:color="5D8AC2"/>
        <w:insideH w:val="single" w:sz="4" w:space="0" w:color="5D8AC2"/>
        <w:insideV w:val="single" w:sz="4" w:space="0" w:color="5D8AC2"/>
      </w:tblBorders>
      <w:tblCellMar>
        <w:top w:w="0" w:type="dxa"/>
        <w:left w:w="0" w:type="dxa"/>
        <w:bottom w:w="0" w:type="dxa"/>
        <w:right w:w="0" w:type="dxa"/>
      </w:tblCellMar>
    </w:tblPr>
  </w:style>
  <w:style w:type="table" w:customStyle="1" w:styleId="GridTable3-Accent2">
    <w:name w:val="Grid Table 3 - Accent 2"/>
    <w:uiPriority w:val="99"/>
    <w:rPr>
      <w:lang w:eastAsia="zh-CN"/>
    </w:rPr>
    <w:tblPr>
      <w:tblStyleRowBandSize w:val="1"/>
      <w:tblStyleColBandSize w:val="1"/>
      <w:tblInd w:w="0" w:type="dxa"/>
      <w:tblBorders>
        <w:bottom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GridTable3-Accent3">
    <w:name w:val="Grid Table 3 - Accent 3"/>
    <w:uiPriority w:val="99"/>
    <w:rPr>
      <w:lang w:eastAsia="zh-CN"/>
    </w:rPr>
    <w:tblPr>
      <w:tblStyleRowBandSize w:val="1"/>
      <w:tblStyleColBandSize w:val="1"/>
      <w:tblInd w:w="0" w:type="dxa"/>
      <w:tblBorders>
        <w:bottom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GridTable3-Accent4">
    <w:name w:val="Grid Table 3 - Accent 4"/>
    <w:uiPriority w:val="99"/>
    <w:rPr>
      <w:lang w:eastAsia="zh-CN"/>
    </w:rPr>
    <w:tblPr>
      <w:tblStyleRowBandSize w:val="1"/>
      <w:tblStyleColBandSize w:val="1"/>
      <w:tblInd w:w="0" w:type="dxa"/>
      <w:tblBorders>
        <w:bottom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GridTable3-Accent5">
    <w:name w:val="Grid Table 3 - Accent 5"/>
    <w:uiPriority w:val="99"/>
    <w:rPr>
      <w:lang w:eastAsia="zh-CN"/>
    </w:rPr>
    <w:tblPr>
      <w:tblStyleRowBandSize w:val="1"/>
      <w:tblStyleColBandSize w:val="1"/>
      <w:tblInd w:w="0" w:type="dxa"/>
      <w:tblBorders>
        <w:bottom w:val="single" w:sz="4" w:space="0" w:color="4BACC6"/>
        <w:insideH w:val="single" w:sz="4" w:space="0" w:color="4BACC6"/>
        <w:insideV w:val="single" w:sz="4" w:space="0" w:color="4BACC6"/>
      </w:tblBorders>
      <w:tblCellMar>
        <w:top w:w="0" w:type="dxa"/>
        <w:left w:w="0" w:type="dxa"/>
        <w:bottom w:w="0" w:type="dxa"/>
        <w:right w:w="0" w:type="dxa"/>
      </w:tblCellMar>
    </w:tblPr>
  </w:style>
  <w:style w:type="table" w:customStyle="1" w:styleId="GridTable3-Accent6">
    <w:name w:val="Grid Table 3 - Accent 6"/>
    <w:uiPriority w:val="99"/>
    <w:rPr>
      <w:lang w:eastAsia="zh-CN"/>
    </w:rPr>
    <w:tblPr>
      <w:tblStyleRowBandSize w:val="1"/>
      <w:tblStyleColBandSize w:val="1"/>
      <w:tblInd w:w="0" w:type="dxa"/>
      <w:tblBorders>
        <w:bottom w:val="single" w:sz="4" w:space="0" w:color="F79646"/>
        <w:insideH w:val="single" w:sz="4" w:space="0" w:color="F79646"/>
        <w:insideV w:val="single" w:sz="4" w:space="0" w:color="F79646"/>
      </w:tblBorders>
      <w:tblCellMar>
        <w:top w:w="0" w:type="dxa"/>
        <w:left w:w="0" w:type="dxa"/>
        <w:bottom w:w="0" w:type="dxa"/>
        <w:right w:w="0" w:type="dxa"/>
      </w:tblCellMar>
    </w:tblPr>
  </w:style>
  <w:style w:type="table" w:styleId="-4">
    <w:name w:val="Grid Table 4"/>
    <w:uiPriority w:val="59"/>
    <w:rPr>
      <w:lang w:eastAsia="zh-CN"/>
    </w:rPr>
    <w:tblPr>
      <w:tblStyleRowBandSize w:val="1"/>
      <w:tblStyleColBandSize w:val="1"/>
      <w:tblInd w:w="0" w:type="dxa"/>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CellMar>
        <w:top w:w="0" w:type="dxa"/>
        <w:left w:w="0" w:type="dxa"/>
        <w:bottom w:w="0" w:type="dxa"/>
        <w:right w:w="0" w:type="dxa"/>
      </w:tblCellMar>
    </w:tblPr>
  </w:style>
  <w:style w:type="table" w:customStyle="1" w:styleId="GridTable4-Accent1">
    <w:name w:val="Grid Table 4 - Accent 1"/>
    <w:uiPriority w:val="59"/>
    <w:rPr>
      <w:lang w:eastAsia="zh-CN"/>
    </w:rPr>
    <w:tblPr>
      <w:tblStyleRowBandSize w:val="1"/>
      <w:tblStyleColBandSize w:val="1"/>
      <w:tblInd w:w="0" w:type="dxa"/>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CellMar>
        <w:top w:w="0" w:type="dxa"/>
        <w:left w:w="0" w:type="dxa"/>
        <w:bottom w:w="0" w:type="dxa"/>
        <w:right w:w="0" w:type="dxa"/>
      </w:tblCellMar>
    </w:tblPr>
  </w:style>
  <w:style w:type="table" w:customStyle="1" w:styleId="GridTable4-Accent2">
    <w:name w:val="Grid Table 4 - Accent 2"/>
    <w:uiPriority w:val="59"/>
    <w:rPr>
      <w:lang w:eastAsia="zh-CN"/>
    </w:rPr>
    <w:tblPr>
      <w:tblStyleRowBandSize w:val="1"/>
      <w:tblStyleColBandSize w:val="1"/>
      <w:tblInd w:w="0" w:type="dxa"/>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CellMar>
        <w:top w:w="0" w:type="dxa"/>
        <w:left w:w="0" w:type="dxa"/>
        <w:bottom w:w="0" w:type="dxa"/>
        <w:right w:w="0" w:type="dxa"/>
      </w:tblCellMar>
    </w:tblPr>
  </w:style>
  <w:style w:type="table" w:customStyle="1" w:styleId="GridTable4-Accent3">
    <w:name w:val="Grid Table 4 - Accent 3"/>
    <w:uiPriority w:val="59"/>
    <w:rPr>
      <w:lang w:eastAsia="zh-CN"/>
    </w:rPr>
    <w:tblPr>
      <w:tblStyleRowBandSize w:val="1"/>
      <w:tblStyleColBandSize w:val="1"/>
      <w:tblInd w:w="0" w:type="dxa"/>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CellMar>
        <w:top w:w="0" w:type="dxa"/>
        <w:left w:w="0" w:type="dxa"/>
        <w:bottom w:w="0" w:type="dxa"/>
        <w:right w:w="0" w:type="dxa"/>
      </w:tblCellMar>
    </w:tblPr>
  </w:style>
  <w:style w:type="table" w:customStyle="1" w:styleId="GridTable4-Accent4">
    <w:name w:val="Grid Table 4 - Accent 4"/>
    <w:uiPriority w:val="59"/>
    <w:rPr>
      <w:lang w:eastAsia="zh-CN"/>
    </w:rPr>
    <w:tblPr>
      <w:tblStyleRowBandSize w:val="1"/>
      <w:tblStyleColBandSize w:val="1"/>
      <w:tblInd w:w="0" w:type="dxa"/>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CellMar>
        <w:top w:w="0" w:type="dxa"/>
        <w:left w:w="0" w:type="dxa"/>
        <w:bottom w:w="0" w:type="dxa"/>
        <w:right w:w="0" w:type="dxa"/>
      </w:tblCellMar>
    </w:tblPr>
  </w:style>
  <w:style w:type="table" w:customStyle="1" w:styleId="GridTable4-Accent5">
    <w:name w:val="Grid Table 4 - Accent 5"/>
    <w:uiPriority w:val="59"/>
    <w:rPr>
      <w:lang w:eastAsia="zh-CN"/>
    </w:rPr>
    <w:tblPr>
      <w:tblStyleRowBandSize w:val="1"/>
      <w:tblStyleColBandSize w:val="1"/>
      <w:tblInd w:w="0" w:type="dxa"/>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style>
  <w:style w:type="table" w:customStyle="1" w:styleId="GridTable4-Accent6">
    <w:name w:val="Grid Table 4 - Accent 6"/>
    <w:uiPriority w:val="59"/>
    <w:rPr>
      <w:lang w:eastAsia="zh-CN"/>
    </w:rPr>
    <w:tblPr>
      <w:tblStyleRowBandSize w:val="1"/>
      <w:tblStyleColBandSize w:val="1"/>
      <w:tblInd w:w="0" w:type="dxa"/>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style>
  <w:style w:type="table" w:styleId="-5">
    <w:name w:val="Grid Table 5 Dark"/>
    <w:uiPriority w:val="99"/>
    <w:rPr>
      <w:lang w:eastAsia="zh-C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BFBFBF" w:fill="BFBFBF"/>
      <w:tblCellMar>
        <w:top w:w="0" w:type="dxa"/>
        <w:left w:w="0" w:type="dxa"/>
        <w:bottom w:w="0" w:type="dxa"/>
        <w:right w:w="0" w:type="dxa"/>
      </w:tblCellMar>
    </w:tblPr>
  </w:style>
  <w:style w:type="table" w:customStyle="1" w:styleId="GridTable5Dark-Accent1">
    <w:name w:val="Grid Table 5 Dark- Accent 1"/>
    <w:uiPriority w:val="99"/>
    <w:rPr>
      <w:lang w:eastAsia="zh-C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5F1" w:fill="DAE5F1"/>
      <w:tblCellMar>
        <w:top w:w="0" w:type="dxa"/>
        <w:left w:w="0" w:type="dxa"/>
        <w:bottom w:w="0" w:type="dxa"/>
        <w:right w:w="0" w:type="dxa"/>
      </w:tblCellMar>
    </w:tblPr>
  </w:style>
  <w:style w:type="table" w:customStyle="1" w:styleId="GridTable5Dark-Accent2">
    <w:name w:val="Grid Table 5 Dark - Accent 2"/>
    <w:uiPriority w:val="99"/>
    <w:rPr>
      <w:lang w:eastAsia="zh-C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2DCDC" w:fill="F2DCDC"/>
      <w:tblCellMar>
        <w:top w:w="0" w:type="dxa"/>
        <w:left w:w="0" w:type="dxa"/>
        <w:bottom w:w="0" w:type="dxa"/>
        <w:right w:w="0" w:type="dxa"/>
      </w:tblCellMar>
    </w:tblPr>
  </w:style>
  <w:style w:type="table" w:customStyle="1" w:styleId="GridTable5Dark-Accent3">
    <w:name w:val="Grid Table 5 Dark - Accent 3"/>
    <w:uiPriority w:val="99"/>
    <w:rPr>
      <w:lang w:eastAsia="zh-C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AF1DC" w:fill="EAF1DC"/>
      <w:tblCellMar>
        <w:top w:w="0" w:type="dxa"/>
        <w:left w:w="0" w:type="dxa"/>
        <w:bottom w:w="0" w:type="dxa"/>
        <w:right w:w="0" w:type="dxa"/>
      </w:tblCellMar>
    </w:tblPr>
  </w:style>
  <w:style w:type="table" w:customStyle="1" w:styleId="GridTable5Dark-Accent4">
    <w:name w:val="Grid Table 5 Dark- Accent 4"/>
    <w:uiPriority w:val="99"/>
    <w:rPr>
      <w:lang w:eastAsia="zh-C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E5DFEC" w:fill="E5DFEC"/>
      <w:tblCellMar>
        <w:top w:w="0" w:type="dxa"/>
        <w:left w:w="0" w:type="dxa"/>
        <w:bottom w:w="0" w:type="dxa"/>
        <w:right w:w="0" w:type="dxa"/>
      </w:tblCellMar>
    </w:tblPr>
  </w:style>
  <w:style w:type="table" w:customStyle="1" w:styleId="GridTable5Dark-Accent5">
    <w:name w:val="Grid Table 5 Dark - Accent 5"/>
    <w:uiPriority w:val="99"/>
    <w:rPr>
      <w:lang w:eastAsia="zh-C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DAEEF3" w:fill="DAEEF3"/>
      <w:tblCellMar>
        <w:top w:w="0" w:type="dxa"/>
        <w:left w:w="0" w:type="dxa"/>
        <w:bottom w:w="0" w:type="dxa"/>
        <w:right w:w="0" w:type="dxa"/>
      </w:tblCellMar>
    </w:tblPr>
  </w:style>
  <w:style w:type="table" w:customStyle="1" w:styleId="GridTable5Dark-Accent6">
    <w:name w:val="Grid Table 5 Dark - Accent 6"/>
    <w:uiPriority w:val="99"/>
    <w:rPr>
      <w:lang w:eastAsia="zh-CN"/>
    </w:rPr>
    <w:tblPr>
      <w:tblStyleRowBandSize w:val="1"/>
      <w:tblStyleColBandSize w:val="1"/>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FDE9D8" w:fill="FDE9D8"/>
      <w:tblCellMar>
        <w:top w:w="0" w:type="dxa"/>
        <w:left w:w="0" w:type="dxa"/>
        <w:bottom w:w="0" w:type="dxa"/>
        <w:right w:w="0" w:type="dxa"/>
      </w:tblCellMar>
    </w:tblPr>
  </w:style>
  <w:style w:type="table" w:styleId="-6">
    <w:name w:val="Grid Table 6 Colorful"/>
    <w:uiPriority w:val="99"/>
    <w:rPr>
      <w:lang w:eastAsia="zh-CN"/>
    </w:rPr>
    <w:tblPr>
      <w:tblStyleRowBandSize w:val="1"/>
      <w:tblStyleColBandSize w:val="1"/>
      <w:tblInd w:w="0" w:type="dxa"/>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style>
  <w:style w:type="table" w:customStyle="1" w:styleId="GridTable6Colorful-Accent1">
    <w:name w:val="Grid Table 6 Colorful - Accent 1"/>
    <w:uiPriority w:val="99"/>
    <w:rPr>
      <w:lang w:eastAsia="zh-CN"/>
    </w:rPr>
    <w:tblPr>
      <w:tblStyleRowBandSize w:val="1"/>
      <w:tblStyleColBandSize w:val="1"/>
      <w:tblInd w:w="0" w:type="dxa"/>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style>
  <w:style w:type="table" w:customStyle="1" w:styleId="GridTable6Colorful-Accent2">
    <w:name w:val="Grid Table 6 Colorful - Accent 2"/>
    <w:uiPriority w:val="99"/>
    <w:rPr>
      <w:lang w:eastAsia="zh-CN"/>
    </w:rPr>
    <w:tblPr>
      <w:tblStyleRowBandSize w:val="1"/>
      <w:tblStyleColBandSize w:val="1"/>
      <w:tblInd w:w="0" w:type="dxa"/>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GridTable6Colorful-Accent3">
    <w:name w:val="Grid Table 6 Colorful - Accent 3"/>
    <w:uiPriority w:val="99"/>
    <w:rPr>
      <w:lang w:eastAsia="zh-CN"/>
    </w:rPr>
    <w:tblPr>
      <w:tblStyleRowBandSize w:val="1"/>
      <w:tblStyleColBandSize w:val="1"/>
      <w:tblInd w:w="0" w:type="dxa"/>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GridTable6Colorful-Accent4">
    <w:name w:val="Grid Table 6 Colorful - Accent 4"/>
    <w:uiPriority w:val="99"/>
    <w:rPr>
      <w:lang w:eastAsia="zh-CN"/>
    </w:rPr>
    <w:tblPr>
      <w:tblStyleRowBandSize w:val="1"/>
      <w:tblStyleColBandSize w:val="1"/>
      <w:tblInd w:w="0" w:type="dxa"/>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GridTable6Colorful-Accent5">
    <w:name w:val="Grid Table 6 Colorful - Accent 5"/>
    <w:uiPriority w:val="99"/>
    <w:rPr>
      <w:lang w:eastAsia="zh-CN"/>
    </w:rPr>
    <w:tblPr>
      <w:tblStyleRowBandSize w:val="1"/>
      <w:tblStyleColBandSize w:val="1"/>
      <w:tblInd w:w="0" w:type="dxa"/>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style>
  <w:style w:type="table" w:customStyle="1" w:styleId="GridTable6Colorful-Accent6">
    <w:name w:val="Grid Table 6 Colorful - Accent 6"/>
    <w:uiPriority w:val="99"/>
    <w:rPr>
      <w:lang w:eastAsia="zh-CN"/>
    </w:rPr>
    <w:tblPr>
      <w:tblStyleRowBandSize w:val="1"/>
      <w:tblStyleColBandSize w:val="1"/>
      <w:tblInd w:w="0" w:type="dxa"/>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style>
  <w:style w:type="table" w:styleId="-7">
    <w:name w:val="Grid Table 7 Colorful"/>
    <w:uiPriority w:val="99"/>
    <w:rPr>
      <w:lang w:eastAsia="zh-CN"/>
    </w:rPr>
    <w:tblPr>
      <w:tblStyleRowBandSize w:val="1"/>
      <w:tblStyleColBandSize w:val="1"/>
      <w:tblInd w:w="0" w:type="dxa"/>
      <w:tblBorders>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style>
  <w:style w:type="table" w:customStyle="1" w:styleId="GridTable7Colorful-Accent1">
    <w:name w:val="Grid Table 7 Colorful - Accent 1"/>
    <w:uiPriority w:val="99"/>
    <w:rPr>
      <w:lang w:eastAsia="zh-CN"/>
    </w:rPr>
    <w:tblPr>
      <w:tblStyleRowBandSize w:val="1"/>
      <w:tblStyleColBandSize w:val="1"/>
      <w:tblInd w:w="0" w:type="dxa"/>
      <w:tblBorders>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style>
  <w:style w:type="table" w:customStyle="1" w:styleId="GridTable7Colorful-Accent2">
    <w:name w:val="Grid Table 7 Colorful - Accent 2"/>
    <w:uiPriority w:val="99"/>
    <w:rPr>
      <w:lang w:eastAsia="zh-CN"/>
    </w:rPr>
    <w:tblPr>
      <w:tblStyleRowBandSize w:val="1"/>
      <w:tblStyleColBandSize w:val="1"/>
      <w:tblInd w:w="0" w:type="dxa"/>
      <w:tblBorders>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GridTable7Colorful-Accent3">
    <w:name w:val="Grid Table 7 Colorful - Accent 3"/>
    <w:uiPriority w:val="99"/>
    <w:rPr>
      <w:lang w:eastAsia="zh-CN"/>
    </w:rPr>
    <w:tblPr>
      <w:tblStyleRowBandSize w:val="1"/>
      <w:tblStyleColBandSize w:val="1"/>
      <w:tblInd w:w="0" w:type="dxa"/>
      <w:tblBorders>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GridTable7Colorful-Accent4">
    <w:name w:val="Grid Table 7 Colorful - Accent 4"/>
    <w:uiPriority w:val="99"/>
    <w:rPr>
      <w:lang w:eastAsia="zh-CN"/>
    </w:rPr>
    <w:tblPr>
      <w:tblStyleRowBandSize w:val="1"/>
      <w:tblStyleColBandSize w:val="1"/>
      <w:tblInd w:w="0" w:type="dxa"/>
      <w:tblBorders>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GridTable7Colorful-Accent5">
    <w:name w:val="Grid Table 7 Colorful - Accent 5"/>
    <w:uiPriority w:val="99"/>
    <w:rPr>
      <w:lang w:eastAsia="zh-CN"/>
    </w:rPr>
    <w:tblPr>
      <w:tblStyleRowBandSize w:val="1"/>
      <w:tblStyleColBandSize w:val="1"/>
      <w:tblInd w:w="0" w:type="dxa"/>
      <w:tblBorders>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style>
  <w:style w:type="table" w:customStyle="1" w:styleId="GridTable7Colorful-Accent6">
    <w:name w:val="Grid Table 7 Colorful - Accent 6"/>
    <w:uiPriority w:val="99"/>
    <w:rPr>
      <w:lang w:eastAsia="zh-CN"/>
    </w:rPr>
    <w:tblPr>
      <w:tblStyleRowBandSize w:val="1"/>
      <w:tblStyleColBandSize w:val="1"/>
      <w:tblInd w:w="0" w:type="dxa"/>
      <w:tblBorders>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style>
  <w:style w:type="table" w:styleId="-10">
    <w:name w:val="List Table 1 Light"/>
    <w:uiPriority w:val="99"/>
    <w:rPr>
      <w:lang w:eastAsia="zh-CN"/>
    </w:rPr>
    <w:tblPr>
      <w:tblStyleRowBandSize w:val="1"/>
      <w:tblStyleColBandSize w:val="1"/>
      <w:tblInd w:w="0" w:type="dxa"/>
      <w:tblCellMar>
        <w:top w:w="0" w:type="dxa"/>
        <w:left w:w="0" w:type="dxa"/>
        <w:bottom w:w="0" w:type="dxa"/>
        <w:right w:w="0" w:type="dxa"/>
      </w:tblCellMar>
    </w:tblPr>
  </w:style>
  <w:style w:type="table" w:customStyle="1" w:styleId="ListTable1Light-Accent1">
    <w:name w:val="List Table 1 Light - Accent 1"/>
    <w:uiPriority w:val="99"/>
    <w:rPr>
      <w:lang w:eastAsia="zh-CN"/>
    </w:rPr>
    <w:tblPr>
      <w:tblStyleRowBandSize w:val="1"/>
      <w:tblStyleColBandSize w:val="1"/>
      <w:tblInd w:w="0" w:type="dxa"/>
      <w:tblCellMar>
        <w:top w:w="0" w:type="dxa"/>
        <w:left w:w="0" w:type="dxa"/>
        <w:bottom w:w="0" w:type="dxa"/>
        <w:right w:w="0" w:type="dxa"/>
      </w:tblCellMar>
    </w:tblPr>
  </w:style>
  <w:style w:type="table" w:customStyle="1" w:styleId="ListTable1Light-Accent2">
    <w:name w:val="List Table 1 Light - Accent 2"/>
    <w:uiPriority w:val="99"/>
    <w:rPr>
      <w:lang w:eastAsia="zh-CN"/>
    </w:rPr>
    <w:tblPr>
      <w:tblStyleRowBandSize w:val="1"/>
      <w:tblStyleColBandSize w:val="1"/>
      <w:tblInd w:w="0" w:type="dxa"/>
      <w:tblCellMar>
        <w:top w:w="0" w:type="dxa"/>
        <w:left w:w="0" w:type="dxa"/>
        <w:bottom w:w="0" w:type="dxa"/>
        <w:right w:w="0" w:type="dxa"/>
      </w:tblCellMar>
    </w:tblPr>
  </w:style>
  <w:style w:type="table" w:customStyle="1" w:styleId="ListTable1Light-Accent3">
    <w:name w:val="List Table 1 Light - Accent 3"/>
    <w:uiPriority w:val="99"/>
    <w:rPr>
      <w:lang w:eastAsia="zh-CN"/>
    </w:rPr>
    <w:tblPr>
      <w:tblStyleRowBandSize w:val="1"/>
      <w:tblStyleColBandSize w:val="1"/>
      <w:tblInd w:w="0" w:type="dxa"/>
      <w:tblCellMar>
        <w:top w:w="0" w:type="dxa"/>
        <w:left w:w="0" w:type="dxa"/>
        <w:bottom w:w="0" w:type="dxa"/>
        <w:right w:w="0" w:type="dxa"/>
      </w:tblCellMar>
    </w:tblPr>
  </w:style>
  <w:style w:type="table" w:customStyle="1" w:styleId="ListTable1Light-Accent4">
    <w:name w:val="List Table 1 Light - Accent 4"/>
    <w:uiPriority w:val="99"/>
    <w:rPr>
      <w:lang w:eastAsia="zh-CN"/>
    </w:rPr>
    <w:tblPr>
      <w:tblStyleRowBandSize w:val="1"/>
      <w:tblStyleColBandSize w:val="1"/>
      <w:tblInd w:w="0" w:type="dxa"/>
      <w:tblCellMar>
        <w:top w:w="0" w:type="dxa"/>
        <w:left w:w="0" w:type="dxa"/>
        <w:bottom w:w="0" w:type="dxa"/>
        <w:right w:w="0" w:type="dxa"/>
      </w:tblCellMar>
    </w:tblPr>
  </w:style>
  <w:style w:type="table" w:customStyle="1" w:styleId="ListTable1Light-Accent5">
    <w:name w:val="List Table 1 Light - Accent 5"/>
    <w:uiPriority w:val="99"/>
    <w:rPr>
      <w:lang w:eastAsia="zh-CN"/>
    </w:rPr>
    <w:tblPr>
      <w:tblStyleRowBandSize w:val="1"/>
      <w:tblStyleColBandSize w:val="1"/>
      <w:tblInd w:w="0" w:type="dxa"/>
      <w:tblCellMar>
        <w:top w:w="0" w:type="dxa"/>
        <w:left w:w="0" w:type="dxa"/>
        <w:bottom w:w="0" w:type="dxa"/>
        <w:right w:w="0" w:type="dxa"/>
      </w:tblCellMar>
    </w:tblPr>
  </w:style>
  <w:style w:type="table" w:customStyle="1" w:styleId="ListTable1Light-Accent6">
    <w:name w:val="List Table 1 Light - Accent 6"/>
    <w:uiPriority w:val="99"/>
    <w:rPr>
      <w:lang w:eastAsia="zh-CN"/>
    </w:rPr>
    <w:tblPr>
      <w:tblStyleRowBandSize w:val="1"/>
      <w:tblStyleColBandSize w:val="1"/>
      <w:tblInd w:w="0" w:type="dxa"/>
      <w:tblCellMar>
        <w:top w:w="0" w:type="dxa"/>
        <w:left w:w="0" w:type="dxa"/>
        <w:bottom w:w="0" w:type="dxa"/>
        <w:right w:w="0" w:type="dxa"/>
      </w:tblCellMar>
    </w:tblPr>
  </w:style>
  <w:style w:type="table" w:styleId="-20">
    <w:name w:val="List Table 2"/>
    <w:uiPriority w:val="99"/>
    <w:rPr>
      <w:lang w:eastAsia="zh-CN"/>
    </w:rPr>
    <w:tblPr>
      <w:tblStyleRowBandSize w:val="1"/>
      <w:tblStyleColBandSize w:val="1"/>
      <w:tblInd w:w="0" w:type="dxa"/>
      <w:tblBorders>
        <w:top w:val="single" w:sz="4" w:space="0" w:color="6F6F6F"/>
        <w:bottom w:val="single" w:sz="4" w:space="0" w:color="6F6F6F"/>
        <w:insideH w:val="single" w:sz="4" w:space="0" w:color="6F6F6F"/>
      </w:tblBorders>
      <w:tblCellMar>
        <w:top w:w="0" w:type="dxa"/>
        <w:left w:w="0" w:type="dxa"/>
        <w:bottom w:w="0" w:type="dxa"/>
        <w:right w:w="0" w:type="dxa"/>
      </w:tblCellMar>
    </w:tblPr>
  </w:style>
  <w:style w:type="table" w:customStyle="1" w:styleId="ListTable2-Accent1">
    <w:name w:val="List Table 2 - Accent 1"/>
    <w:uiPriority w:val="99"/>
    <w:rPr>
      <w:lang w:eastAsia="zh-CN"/>
    </w:rPr>
    <w:tblPr>
      <w:tblStyleRowBandSize w:val="1"/>
      <w:tblStyleColBandSize w:val="1"/>
      <w:tblInd w:w="0" w:type="dxa"/>
      <w:tblBorders>
        <w:top w:val="single" w:sz="4" w:space="0" w:color="9BB7D9"/>
        <w:bottom w:val="single" w:sz="4" w:space="0" w:color="9BB7D9"/>
        <w:insideH w:val="single" w:sz="4" w:space="0" w:color="9BB7D9"/>
      </w:tblBorders>
      <w:tblCellMar>
        <w:top w:w="0" w:type="dxa"/>
        <w:left w:w="0" w:type="dxa"/>
        <w:bottom w:w="0" w:type="dxa"/>
        <w:right w:w="0" w:type="dxa"/>
      </w:tblCellMar>
    </w:tblPr>
  </w:style>
  <w:style w:type="table" w:customStyle="1" w:styleId="ListTable2-Accent2">
    <w:name w:val="List Table 2 - Accent 2"/>
    <w:uiPriority w:val="99"/>
    <w:rPr>
      <w:lang w:eastAsia="zh-CN"/>
    </w:rPr>
    <w:tblPr>
      <w:tblStyleRowBandSize w:val="1"/>
      <w:tblStyleColBandSize w:val="1"/>
      <w:tblInd w:w="0" w:type="dxa"/>
      <w:tblBorders>
        <w:top w:val="single" w:sz="4" w:space="0" w:color="DB9B9A"/>
        <w:bottom w:val="single" w:sz="4" w:space="0" w:color="DB9B9A"/>
        <w:insideH w:val="single" w:sz="4" w:space="0" w:color="DB9B9A"/>
      </w:tblBorders>
      <w:tblCellMar>
        <w:top w:w="0" w:type="dxa"/>
        <w:left w:w="0" w:type="dxa"/>
        <w:bottom w:w="0" w:type="dxa"/>
        <w:right w:w="0" w:type="dxa"/>
      </w:tblCellMar>
    </w:tblPr>
  </w:style>
  <w:style w:type="table" w:customStyle="1" w:styleId="ListTable2-Accent3">
    <w:name w:val="List Table 2 - Accent 3"/>
    <w:uiPriority w:val="99"/>
    <w:rPr>
      <w:lang w:eastAsia="zh-CN"/>
    </w:rPr>
    <w:tblPr>
      <w:tblStyleRowBandSize w:val="1"/>
      <w:tblStyleColBandSize w:val="1"/>
      <w:tblInd w:w="0" w:type="dxa"/>
      <w:tblBorders>
        <w:top w:val="single" w:sz="4" w:space="0" w:color="C6D8A1"/>
        <w:bottom w:val="single" w:sz="4" w:space="0" w:color="C6D8A1"/>
        <w:insideH w:val="single" w:sz="4" w:space="0" w:color="C6D8A1"/>
      </w:tblBorders>
      <w:tblCellMar>
        <w:top w:w="0" w:type="dxa"/>
        <w:left w:w="0" w:type="dxa"/>
        <w:bottom w:w="0" w:type="dxa"/>
        <w:right w:w="0" w:type="dxa"/>
      </w:tblCellMar>
    </w:tblPr>
  </w:style>
  <w:style w:type="table" w:customStyle="1" w:styleId="ListTable2-Accent4">
    <w:name w:val="List Table 2 - Accent 4"/>
    <w:uiPriority w:val="99"/>
    <w:rPr>
      <w:lang w:eastAsia="zh-CN"/>
    </w:rPr>
    <w:tblPr>
      <w:tblStyleRowBandSize w:val="1"/>
      <w:tblStyleColBandSize w:val="1"/>
      <w:tblInd w:w="0" w:type="dxa"/>
      <w:tblBorders>
        <w:top w:val="single" w:sz="4" w:space="0" w:color="B7A7CA"/>
        <w:bottom w:val="single" w:sz="4" w:space="0" w:color="B7A7CA"/>
        <w:insideH w:val="single" w:sz="4" w:space="0" w:color="B7A7CA"/>
      </w:tblBorders>
      <w:tblCellMar>
        <w:top w:w="0" w:type="dxa"/>
        <w:left w:w="0" w:type="dxa"/>
        <w:bottom w:w="0" w:type="dxa"/>
        <w:right w:w="0" w:type="dxa"/>
      </w:tblCellMar>
    </w:tblPr>
  </w:style>
  <w:style w:type="table" w:customStyle="1" w:styleId="ListTable2-Accent5">
    <w:name w:val="List Table 2 - Accent 5"/>
    <w:uiPriority w:val="99"/>
    <w:rPr>
      <w:lang w:eastAsia="zh-CN"/>
    </w:rPr>
    <w:tblPr>
      <w:tblStyleRowBandSize w:val="1"/>
      <w:tblStyleColBandSize w:val="1"/>
      <w:tblInd w:w="0" w:type="dxa"/>
      <w:tblBorders>
        <w:top w:val="single" w:sz="4" w:space="0" w:color="99D0DE"/>
        <w:bottom w:val="single" w:sz="4" w:space="0" w:color="99D0DE"/>
        <w:insideH w:val="single" w:sz="4" w:space="0" w:color="99D0DE"/>
      </w:tblBorders>
      <w:tblCellMar>
        <w:top w:w="0" w:type="dxa"/>
        <w:left w:w="0" w:type="dxa"/>
        <w:bottom w:w="0" w:type="dxa"/>
        <w:right w:w="0" w:type="dxa"/>
      </w:tblCellMar>
    </w:tblPr>
  </w:style>
  <w:style w:type="table" w:customStyle="1" w:styleId="ListTable2-Accent6">
    <w:name w:val="List Table 2 - Accent 6"/>
    <w:uiPriority w:val="99"/>
    <w:rPr>
      <w:lang w:eastAsia="zh-CN"/>
    </w:rPr>
    <w:tblPr>
      <w:tblStyleRowBandSize w:val="1"/>
      <w:tblStyleColBandSize w:val="1"/>
      <w:tblInd w:w="0" w:type="dxa"/>
      <w:tblBorders>
        <w:top w:val="single" w:sz="4" w:space="0" w:color="FAC396"/>
        <w:bottom w:val="single" w:sz="4" w:space="0" w:color="FAC396"/>
        <w:insideH w:val="single" w:sz="4" w:space="0" w:color="FAC396"/>
      </w:tblBorders>
      <w:tblCellMar>
        <w:top w:w="0" w:type="dxa"/>
        <w:left w:w="0" w:type="dxa"/>
        <w:bottom w:w="0" w:type="dxa"/>
        <w:right w:w="0" w:type="dxa"/>
      </w:tblCellMar>
    </w:tblPr>
  </w:style>
  <w:style w:type="table" w:styleId="-30">
    <w:name w:val="List Table 3"/>
    <w:uiPriority w:val="99"/>
    <w:rPr>
      <w:lang w:eastAsia="zh-CN"/>
    </w:rPr>
    <w:tblPr>
      <w:tblStyleRowBandSize w:val="1"/>
      <w:tblStyleColBandSize w:val="1"/>
      <w:tblInd w:w="0" w:type="dxa"/>
      <w:tblBorders>
        <w:top w:val="single" w:sz="4" w:space="0" w:color="000000"/>
        <w:left w:val="single" w:sz="4" w:space="0" w:color="000000"/>
        <w:bottom w:val="single" w:sz="4" w:space="0" w:color="000000"/>
        <w:right w:val="single" w:sz="4" w:space="0" w:color="000000"/>
      </w:tblBorders>
      <w:tblCellMar>
        <w:top w:w="0" w:type="dxa"/>
        <w:left w:w="0" w:type="dxa"/>
        <w:bottom w:w="0" w:type="dxa"/>
        <w:right w:w="0" w:type="dxa"/>
      </w:tblCellMar>
    </w:tblPr>
  </w:style>
  <w:style w:type="table" w:customStyle="1" w:styleId="ListTable3-Accent1">
    <w:name w:val="List Table 3 - Accent 1"/>
    <w:uiPriority w:val="99"/>
    <w:rPr>
      <w:lang w:eastAsia="zh-CN"/>
    </w:rPr>
    <w:tblPr>
      <w:tblStyleRowBandSize w:val="1"/>
      <w:tblStyleColBandSize w:val="1"/>
      <w:tblInd w:w="0" w:type="dxa"/>
      <w:tblBorders>
        <w:top w:val="single" w:sz="4" w:space="0" w:color="4F81BD"/>
        <w:left w:val="single" w:sz="4" w:space="0" w:color="4F81BD"/>
        <w:bottom w:val="single" w:sz="4" w:space="0" w:color="4F81BD"/>
        <w:right w:val="single" w:sz="4" w:space="0" w:color="4F81BD"/>
      </w:tblBorders>
      <w:tblCellMar>
        <w:top w:w="0" w:type="dxa"/>
        <w:left w:w="0" w:type="dxa"/>
        <w:bottom w:w="0" w:type="dxa"/>
        <w:right w:w="0" w:type="dxa"/>
      </w:tblCellMar>
    </w:tblPr>
  </w:style>
  <w:style w:type="table" w:customStyle="1" w:styleId="ListTable3-Accent2">
    <w:name w:val="List Table 3 - Accent 2"/>
    <w:uiPriority w:val="99"/>
    <w:rPr>
      <w:lang w:eastAsia="zh-CN"/>
    </w:rPr>
    <w:tblPr>
      <w:tblStyleRowBandSize w:val="1"/>
      <w:tblStyleColBandSize w:val="1"/>
      <w:tblInd w:w="0" w:type="dxa"/>
      <w:tblBorders>
        <w:top w:val="single" w:sz="4" w:space="0" w:color="D99695"/>
        <w:left w:val="single" w:sz="4" w:space="0" w:color="D99695"/>
        <w:bottom w:val="single" w:sz="4" w:space="0" w:color="D99695"/>
        <w:right w:val="single" w:sz="4" w:space="0" w:color="D99695"/>
      </w:tblBorders>
      <w:tblCellMar>
        <w:top w:w="0" w:type="dxa"/>
        <w:left w:w="0" w:type="dxa"/>
        <w:bottom w:w="0" w:type="dxa"/>
        <w:right w:w="0" w:type="dxa"/>
      </w:tblCellMar>
    </w:tblPr>
  </w:style>
  <w:style w:type="table" w:customStyle="1" w:styleId="ListTable3-Accent3">
    <w:name w:val="List Table 3 - Accent 3"/>
    <w:uiPriority w:val="99"/>
    <w:rPr>
      <w:lang w:eastAsia="zh-CN"/>
    </w:rPr>
    <w:tblPr>
      <w:tblStyleRowBandSize w:val="1"/>
      <w:tblStyleColBandSize w:val="1"/>
      <w:tblInd w:w="0" w:type="dxa"/>
      <w:tblBorders>
        <w:top w:val="single" w:sz="4" w:space="0" w:color="C3D69B"/>
        <w:left w:val="single" w:sz="4" w:space="0" w:color="C3D69B"/>
        <w:bottom w:val="single" w:sz="4" w:space="0" w:color="C3D69B"/>
        <w:right w:val="single" w:sz="4" w:space="0" w:color="C3D69B"/>
      </w:tblBorders>
      <w:tblCellMar>
        <w:top w:w="0" w:type="dxa"/>
        <w:left w:w="0" w:type="dxa"/>
        <w:bottom w:w="0" w:type="dxa"/>
        <w:right w:w="0" w:type="dxa"/>
      </w:tblCellMar>
    </w:tblPr>
  </w:style>
  <w:style w:type="table" w:customStyle="1" w:styleId="ListTable3-Accent4">
    <w:name w:val="List Table 3 - Accent 4"/>
    <w:uiPriority w:val="99"/>
    <w:rPr>
      <w:lang w:eastAsia="zh-CN"/>
    </w:rPr>
    <w:tblPr>
      <w:tblStyleRowBandSize w:val="1"/>
      <w:tblStyleColBandSize w:val="1"/>
      <w:tblInd w:w="0" w:type="dxa"/>
      <w:tblBorders>
        <w:top w:val="single" w:sz="4" w:space="0" w:color="B2A1C6"/>
        <w:left w:val="single" w:sz="4" w:space="0" w:color="B2A1C6"/>
        <w:bottom w:val="single" w:sz="4" w:space="0" w:color="B2A1C6"/>
        <w:right w:val="single" w:sz="4" w:space="0" w:color="B2A1C6"/>
      </w:tblBorders>
      <w:tblCellMar>
        <w:top w:w="0" w:type="dxa"/>
        <w:left w:w="0" w:type="dxa"/>
        <w:bottom w:w="0" w:type="dxa"/>
        <w:right w:w="0" w:type="dxa"/>
      </w:tblCellMar>
    </w:tblPr>
  </w:style>
  <w:style w:type="table" w:customStyle="1" w:styleId="ListTable3-Accent5">
    <w:name w:val="List Table 3 - Accent 5"/>
    <w:uiPriority w:val="99"/>
    <w:rPr>
      <w:lang w:eastAsia="zh-CN"/>
    </w:rPr>
    <w:tblPr>
      <w:tblStyleRowBandSize w:val="1"/>
      <w:tblStyleColBandSize w:val="1"/>
      <w:tblInd w:w="0" w:type="dxa"/>
      <w:tblBorders>
        <w:top w:val="single" w:sz="4" w:space="0" w:color="92CCDC"/>
        <w:left w:val="single" w:sz="4" w:space="0" w:color="92CCDC"/>
        <w:bottom w:val="single" w:sz="4" w:space="0" w:color="92CCDC"/>
        <w:right w:val="single" w:sz="4" w:space="0" w:color="92CCDC"/>
      </w:tblBorders>
      <w:tblCellMar>
        <w:top w:w="0" w:type="dxa"/>
        <w:left w:w="0" w:type="dxa"/>
        <w:bottom w:w="0" w:type="dxa"/>
        <w:right w:w="0" w:type="dxa"/>
      </w:tblCellMar>
    </w:tblPr>
  </w:style>
  <w:style w:type="table" w:customStyle="1" w:styleId="ListTable3-Accent6">
    <w:name w:val="List Table 3 - Accent 6"/>
    <w:uiPriority w:val="99"/>
    <w:rPr>
      <w:lang w:eastAsia="zh-CN"/>
    </w:rPr>
    <w:tblPr>
      <w:tblStyleRowBandSize w:val="1"/>
      <w:tblStyleColBandSize w:val="1"/>
      <w:tblInd w:w="0" w:type="dxa"/>
      <w:tblBorders>
        <w:top w:val="single" w:sz="4" w:space="0" w:color="FAC090"/>
        <w:left w:val="single" w:sz="4" w:space="0" w:color="FAC090"/>
        <w:bottom w:val="single" w:sz="4" w:space="0" w:color="FAC090"/>
        <w:right w:val="single" w:sz="4" w:space="0" w:color="FAC090"/>
      </w:tblBorders>
      <w:tblCellMar>
        <w:top w:w="0" w:type="dxa"/>
        <w:left w:w="0" w:type="dxa"/>
        <w:bottom w:w="0" w:type="dxa"/>
        <w:right w:w="0" w:type="dxa"/>
      </w:tblCellMar>
    </w:tblPr>
  </w:style>
  <w:style w:type="table" w:styleId="-40">
    <w:name w:val="List Table 4"/>
    <w:uiPriority w:val="99"/>
    <w:rPr>
      <w:lang w:eastAsia="zh-CN"/>
    </w:rPr>
    <w:tblPr>
      <w:tblStyleRowBandSize w:val="1"/>
      <w:tblStyleColBandSize w:val="1"/>
      <w:tblInd w:w="0" w:type="dxa"/>
      <w:tblBorders>
        <w:top w:val="single" w:sz="4" w:space="0" w:color="000000"/>
        <w:left w:val="single" w:sz="4" w:space="0" w:color="000000"/>
        <w:bottom w:val="single" w:sz="4" w:space="0" w:color="000000"/>
        <w:right w:val="single" w:sz="4" w:space="0" w:color="000000"/>
        <w:insideH w:val="single" w:sz="4" w:space="0" w:color="000000"/>
      </w:tblBorders>
      <w:tblCellMar>
        <w:top w:w="0" w:type="dxa"/>
        <w:left w:w="0" w:type="dxa"/>
        <w:bottom w:w="0" w:type="dxa"/>
        <w:right w:w="0" w:type="dxa"/>
      </w:tblCellMar>
    </w:tblPr>
  </w:style>
  <w:style w:type="table" w:customStyle="1" w:styleId="ListTable4-Accent1">
    <w:name w:val="List Table 4 - Accent 1"/>
    <w:uiPriority w:val="99"/>
    <w:rPr>
      <w:lang w:eastAsia="zh-CN"/>
    </w:rPr>
    <w:tblPr>
      <w:tblStyleRowBandSize w:val="1"/>
      <w:tblStyleColBandSize w:val="1"/>
      <w:tblInd w:w="0" w:type="dxa"/>
      <w:tblBorders>
        <w:top w:val="single" w:sz="4" w:space="0" w:color="9BB7D9"/>
        <w:left w:val="single" w:sz="4" w:space="0" w:color="9BB7D9"/>
        <w:bottom w:val="single" w:sz="4" w:space="0" w:color="9BB7D9"/>
        <w:right w:val="single" w:sz="4" w:space="0" w:color="9BB7D9"/>
        <w:insideH w:val="single" w:sz="4" w:space="0" w:color="9BB7D9"/>
      </w:tblBorders>
      <w:tblCellMar>
        <w:top w:w="0" w:type="dxa"/>
        <w:left w:w="0" w:type="dxa"/>
        <w:bottom w:w="0" w:type="dxa"/>
        <w:right w:w="0" w:type="dxa"/>
      </w:tblCellMar>
    </w:tblPr>
  </w:style>
  <w:style w:type="table" w:customStyle="1" w:styleId="ListTable4-Accent2">
    <w:name w:val="List Table 4 - Accent 2"/>
    <w:uiPriority w:val="99"/>
    <w:rPr>
      <w:lang w:eastAsia="zh-CN"/>
    </w:rPr>
    <w:tblPr>
      <w:tblStyleRowBandSize w:val="1"/>
      <w:tblStyleColBandSize w:val="1"/>
      <w:tblInd w:w="0" w:type="dxa"/>
      <w:tblBorders>
        <w:top w:val="single" w:sz="4" w:space="0" w:color="DB9B9A"/>
        <w:left w:val="single" w:sz="4" w:space="0" w:color="DB9B9A"/>
        <w:bottom w:val="single" w:sz="4" w:space="0" w:color="DB9B9A"/>
        <w:right w:val="single" w:sz="4" w:space="0" w:color="DB9B9A"/>
        <w:insideH w:val="single" w:sz="4" w:space="0" w:color="DB9B9A"/>
      </w:tblBorders>
      <w:tblCellMar>
        <w:top w:w="0" w:type="dxa"/>
        <w:left w:w="0" w:type="dxa"/>
        <w:bottom w:w="0" w:type="dxa"/>
        <w:right w:w="0" w:type="dxa"/>
      </w:tblCellMar>
    </w:tblPr>
  </w:style>
  <w:style w:type="table" w:customStyle="1" w:styleId="ListTable4-Accent3">
    <w:name w:val="List Table 4 - Accent 3"/>
    <w:uiPriority w:val="99"/>
    <w:rPr>
      <w:lang w:eastAsia="zh-CN"/>
    </w:rPr>
    <w:tblPr>
      <w:tblStyleRowBandSize w:val="1"/>
      <w:tblStyleColBandSize w:val="1"/>
      <w:tblInd w:w="0" w:type="dxa"/>
      <w:tblBorders>
        <w:top w:val="single" w:sz="4" w:space="0" w:color="C6D8A1"/>
        <w:left w:val="single" w:sz="4" w:space="0" w:color="C6D8A1"/>
        <w:bottom w:val="single" w:sz="4" w:space="0" w:color="C6D8A1"/>
        <w:right w:val="single" w:sz="4" w:space="0" w:color="C6D8A1"/>
        <w:insideH w:val="single" w:sz="4" w:space="0" w:color="C6D8A1"/>
      </w:tblBorders>
      <w:tblCellMar>
        <w:top w:w="0" w:type="dxa"/>
        <w:left w:w="0" w:type="dxa"/>
        <w:bottom w:w="0" w:type="dxa"/>
        <w:right w:w="0" w:type="dxa"/>
      </w:tblCellMar>
    </w:tblPr>
  </w:style>
  <w:style w:type="table" w:customStyle="1" w:styleId="ListTable4-Accent4">
    <w:name w:val="List Table 4 - Accent 4"/>
    <w:uiPriority w:val="99"/>
    <w:rPr>
      <w:lang w:eastAsia="zh-CN"/>
    </w:rPr>
    <w:tblPr>
      <w:tblStyleRowBandSize w:val="1"/>
      <w:tblStyleColBandSize w:val="1"/>
      <w:tblInd w:w="0" w:type="dxa"/>
      <w:tblBorders>
        <w:top w:val="single" w:sz="4" w:space="0" w:color="B7A7CA"/>
        <w:left w:val="single" w:sz="4" w:space="0" w:color="B7A7CA"/>
        <w:bottom w:val="single" w:sz="4" w:space="0" w:color="B7A7CA"/>
        <w:right w:val="single" w:sz="4" w:space="0" w:color="B7A7CA"/>
        <w:insideH w:val="single" w:sz="4" w:space="0" w:color="B7A7CA"/>
      </w:tblBorders>
      <w:tblCellMar>
        <w:top w:w="0" w:type="dxa"/>
        <w:left w:w="0" w:type="dxa"/>
        <w:bottom w:w="0" w:type="dxa"/>
        <w:right w:w="0" w:type="dxa"/>
      </w:tblCellMar>
    </w:tblPr>
  </w:style>
  <w:style w:type="table" w:customStyle="1" w:styleId="ListTable4-Accent5">
    <w:name w:val="List Table 4 - Accent 5"/>
    <w:uiPriority w:val="99"/>
    <w:rPr>
      <w:lang w:eastAsia="zh-CN"/>
    </w:rPr>
    <w:tblPr>
      <w:tblStyleRowBandSize w:val="1"/>
      <w:tblStyleColBandSize w:val="1"/>
      <w:tblInd w:w="0" w:type="dxa"/>
      <w:tblBorders>
        <w:top w:val="single" w:sz="4" w:space="0" w:color="99D0DE"/>
        <w:left w:val="single" w:sz="4" w:space="0" w:color="99D0DE"/>
        <w:bottom w:val="single" w:sz="4" w:space="0" w:color="99D0DE"/>
        <w:right w:val="single" w:sz="4" w:space="0" w:color="99D0DE"/>
        <w:insideH w:val="single" w:sz="4" w:space="0" w:color="99D0DE"/>
      </w:tblBorders>
      <w:tblCellMar>
        <w:top w:w="0" w:type="dxa"/>
        <w:left w:w="0" w:type="dxa"/>
        <w:bottom w:w="0" w:type="dxa"/>
        <w:right w:w="0" w:type="dxa"/>
      </w:tblCellMar>
    </w:tblPr>
  </w:style>
  <w:style w:type="table" w:customStyle="1" w:styleId="ListTable4-Accent6">
    <w:name w:val="List Table 4 - Accent 6"/>
    <w:uiPriority w:val="99"/>
    <w:rPr>
      <w:lang w:eastAsia="zh-CN"/>
    </w:rPr>
    <w:tblPr>
      <w:tblStyleRowBandSize w:val="1"/>
      <w:tblStyleColBandSize w:val="1"/>
      <w:tblInd w:w="0" w:type="dxa"/>
      <w:tblBorders>
        <w:top w:val="single" w:sz="4" w:space="0" w:color="FAC396"/>
        <w:left w:val="single" w:sz="4" w:space="0" w:color="FAC396"/>
        <w:bottom w:val="single" w:sz="4" w:space="0" w:color="FAC396"/>
        <w:right w:val="single" w:sz="4" w:space="0" w:color="FAC396"/>
        <w:insideH w:val="single" w:sz="4" w:space="0" w:color="FAC396"/>
      </w:tblBorders>
      <w:tblCellMar>
        <w:top w:w="0" w:type="dxa"/>
        <w:left w:w="0" w:type="dxa"/>
        <w:bottom w:w="0" w:type="dxa"/>
        <w:right w:w="0" w:type="dxa"/>
      </w:tblCellMar>
    </w:tblPr>
  </w:style>
  <w:style w:type="table" w:styleId="-50">
    <w:name w:val="List Table 5 Dark"/>
    <w:uiPriority w:val="99"/>
    <w:rPr>
      <w:lang w:eastAsia="zh-CN"/>
    </w:rPr>
    <w:tblPr>
      <w:tblStyleRowBandSize w:val="1"/>
      <w:tblStyleColBandSize w:val="1"/>
      <w:tblInd w:w="0" w:type="dxa"/>
      <w:tblBorders>
        <w:top w:val="single" w:sz="32" w:space="0" w:color="7F7F7F"/>
        <w:left w:val="single" w:sz="32" w:space="0" w:color="7F7F7F"/>
        <w:bottom w:val="single" w:sz="32" w:space="0" w:color="7F7F7F"/>
        <w:right w:val="single" w:sz="32" w:space="0" w:color="7F7F7F"/>
      </w:tblBorders>
      <w:shd w:val="clear" w:color="7F7F7F" w:fill="7F7F7F"/>
      <w:tblCellMar>
        <w:top w:w="0" w:type="dxa"/>
        <w:left w:w="0" w:type="dxa"/>
        <w:bottom w:w="0" w:type="dxa"/>
        <w:right w:w="0" w:type="dxa"/>
      </w:tblCellMar>
    </w:tblPr>
  </w:style>
  <w:style w:type="table" w:customStyle="1" w:styleId="ListTable5Dark-Accent1">
    <w:name w:val="List Table 5 Dark - Accent 1"/>
    <w:uiPriority w:val="99"/>
    <w:rPr>
      <w:lang w:eastAsia="zh-CN"/>
    </w:rPr>
    <w:tblPr>
      <w:tblStyleRowBandSize w:val="1"/>
      <w:tblStyleColBandSize w:val="1"/>
      <w:tblInd w:w="0" w:type="dxa"/>
      <w:tblBorders>
        <w:top w:val="single" w:sz="32" w:space="0" w:color="4F81BD"/>
        <w:left w:val="single" w:sz="32" w:space="0" w:color="4F81BD"/>
        <w:bottom w:val="single" w:sz="32" w:space="0" w:color="4F81BD"/>
        <w:right w:val="single" w:sz="32" w:space="0" w:color="4F81BD"/>
      </w:tblBorders>
      <w:shd w:val="clear" w:color="4F81BD" w:fill="4F81BD"/>
      <w:tblCellMar>
        <w:top w:w="0" w:type="dxa"/>
        <w:left w:w="0" w:type="dxa"/>
        <w:bottom w:w="0" w:type="dxa"/>
        <w:right w:w="0" w:type="dxa"/>
      </w:tblCellMar>
    </w:tblPr>
  </w:style>
  <w:style w:type="table" w:customStyle="1" w:styleId="ListTable5Dark-Accent2">
    <w:name w:val="List Table 5 Dark - Accent 2"/>
    <w:uiPriority w:val="99"/>
    <w:rPr>
      <w:lang w:eastAsia="zh-CN"/>
    </w:rPr>
    <w:tblPr>
      <w:tblStyleRowBandSize w:val="1"/>
      <w:tblStyleColBandSize w:val="1"/>
      <w:tblInd w:w="0" w:type="dxa"/>
      <w:tblBorders>
        <w:top w:val="single" w:sz="32" w:space="0" w:color="D99695"/>
        <w:left w:val="single" w:sz="32" w:space="0" w:color="D99695"/>
        <w:bottom w:val="single" w:sz="32" w:space="0" w:color="D99695"/>
        <w:right w:val="single" w:sz="32" w:space="0" w:color="D99695"/>
      </w:tblBorders>
      <w:shd w:val="clear" w:color="D99695" w:fill="D99695"/>
      <w:tblCellMar>
        <w:top w:w="0" w:type="dxa"/>
        <w:left w:w="0" w:type="dxa"/>
        <w:bottom w:w="0" w:type="dxa"/>
        <w:right w:w="0" w:type="dxa"/>
      </w:tblCellMar>
    </w:tblPr>
  </w:style>
  <w:style w:type="table" w:customStyle="1" w:styleId="ListTable5Dark-Accent3">
    <w:name w:val="List Table 5 Dark - Accent 3"/>
    <w:uiPriority w:val="99"/>
    <w:rPr>
      <w:lang w:eastAsia="zh-CN"/>
    </w:rPr>
    <w:tblPr>
      <w:tblStyleRowBandSize w:val="1"/>
      <w:tblStyleColBandSize w:val="1"/>
      <w:tblInd w:w="0" w:type="dxa"/>
      <w:tblBorders>
        <w:top w:val="single" w:sz="32" w:space="0" w:color="C3D69B"/>
        <w:left w:val="single" w:sz="32" w:space="0" w:color="C3D69B"/>
        <w:bottom w:val="single" w:sz="32" w:space="0" w:color="C3D69B"/>
        <w:right w:val="single" w:sz="32" w:space="0" w:color="C3D69B"/>
      </w:tblBorders>
      <w:shd w:val="clear" w:color="C3D69B" w:fill="C3D69B"/>
      <w:tblCellMar>
        <w:top w:w="0" w:type="dxa"/>
        <w:left w:w="0" w:type="dxa"/>
        <w:bottom w:w="0" w:type="dxa"/>
        <w:right w:w="0" w:type="dxa"/>
      </w:tblCellMar>
    </w:tblPr>
  </w:style>
  <w:style w:type="table" w:customStyle="1" w:styleId="ListTable5Dark-Accent4">
    <w:name w:val="List Table 5 Dark - Accent 4"/>
    <w:uiPriority w:val="99"/>
    <w:rPr>
      <w:lang w:eastAsia="zh-CN"/>
    </w:rPr>
    <w:tblPr>
      <w:tblStyleRowBandSize w:val="1"/>
      <w:tblStyleColBandSize w:val="1"/>
      <w:tblInd w:w="0" w:type="dxa"/>
      <w:tblBorders>
        <w:top w:val="single" w:sz="32" w:space="0" w:color="B2A1C6"/>
        <w:left w:val="single" w:sz="32" w:space="0" w:color="B2A1C6"/>
        <w:bottom w:val="single" w:sz="32" w:space="0" w:color="B2A1C6"/>
        <w:right w:val="single" w:sz="32" w:space="0" w:color="B2A1C6"/>
      </w:tblBorders>
      <w:shd w:val="clear" w:color="B2A1C6" w:fill="B2A1C6"/>
      <w:tblCellMar>
        <w:top w:w="0" w:type="dxa"/>
        <w:left w:w="0" w:type="dxa"/>
        <w:bottom w:w="0" w:type="dxa"/>
        <w:right w:w="0" w:type="dxa"/>
      </w:tblCellMar>
    </w:tblPr>
  </w:style>
  <w:style w:type="table" w:customStyle="1" w:styleId="ListTable5Dark-Accent5">
    <w:name w:val="List Table 5 Dark - Accent 5"/>
    <w:uiPriority w:val="99"/>
    <w:rPr>
      <w:lang w:eastAsia="zh-CN"/>
    </w:rPr>
    <w:tblPr>
      <w:tblStyleRowBandSize w:val="1"/>
      <w:tblStyleColBandSize w:val="1"/>
      <w:tblInd w:w="0" w:type="dxa"/>
      <w:tblBorders>
        <w:top w:val="single" w:sz="32" w:space="0" w:color="92CCDC"/>
        <w:left w:val="single" w:sz="32" w:space="0" w:color="92CCDC"/>
        <w:bottom w:val="single" w:sz="32" w:space="0" w:color="92CCDC"/>
        <w:right w:val="single" w:sz="32" w:space="0" w:color="92CCDC"/>
      </w:tblBorders>
      <w:shd w:val="clear" w:color="92CCDC" w:fill="92CCDC"/>
      <w:tblCellMar>
        <w:top w:w="0" w:type="dxa"/>
        <w:left w:w="0" w:type="dxa"/>
        <w:bottom w:w="0" w:type="dxa"/>
        <w:right w:w="0" w:type="dxa"/>
      </w:tblCellMar>
    </w:tblPr>
  </w:style>
  <w:style w:type="table" w:customStyle="1" w:styleId="ListTable5Dark-Accent6">
    <w:name w:val="List Table 5 Dark - Accent 6"/>
    <w:uiPriority w:val="99"/>
    <w:rPr>
      <w:lang w:eastAsia="zh-CN"/>
    </w:rPr>
    <w:tblPr>
      <w:tblStyleRowBandSize w:val="1"/>
      <w:tblStyleColBandSize w:val="1"/>
      <w:tblInd w:w="0" w:type="dxa"/>
      <w:tblBorders>
        <w:top w:val="single" w:sz="32" w:space="0" w:color="FAC090"/>
        <w:left w:val="single" w:sz="32" w:space="0" w:color="FAC090"/>
        <w:bottom w:val="single" w:sz="32" w:space="0" w:color="FAC090"/>
        <w:right w:val="single" w:sz="32" w:space="0" w:color="FAC090"/>
      </w:tblBorders>
      <w:shd w:val="clear" w:color="FAC090" w:fill="FAC090"/>
      <w:tblCellMar>
        <w:top w:w="0" w:type="dxa"/>
        <w:left w:w="0" w:type="dxa"/>
        <w:bottom w:w="0" w:type="dxa"/>
        <w:right w:w="0" w:type="dxa"/>
      </w:tblCellMar>
    </w:tblPr>
  </w:style>
  <w:style w:type="table" w:styleId="-60">
    <w:name w:val="List Table 6 Colorful"/>
    <w:uiPriority w:val="99"/>
    <w:rPr>
      <w:lang w:eastAsia="zh-CN"/>
    </w:rPr>
    <w:tblPr>
      <w:tblStyleRowBandSize w:val="1"/>
      <w:tblStyleColBandSize w:val="1"/>
      <w:tblInd w:w="0" w:type="dxa"/>
      <w:tblBorders>
        <w:top w:val="single" w:sz="4" w:space="0" w:color="7F7F7F"/>
        <w:bottom w:val="single" w:sz="4" w:space="0" w:color="7F7F7F"/>
      </w:tblBorders>
      <w:tblCellMar>
        <w:top w:w="0" w:type="dxa"/>
        <w:left w:w="0" w:type="dxa"/>
        <w:bottom w:w="0" w:type="dxa"/>
        <w:right w:w="0" w:type="dxa"/>
      </w:tblCellMar>
    </w:tblPr>
  </w:style>
  <w:style w:type="table" w:customStyle="1" w:styleId="ListTable6Colorful-Accent1">
    <w:name w:val="List Table 6 Colorful - Accent 1"/>
    <w:uiPriority w:val="99"/>
    <w:rPr>
      <w:lang w:eastAsia="zh-CN"/>
    </w:rPr>
    <w:tblPr>
      <w:tblStyleRowBandSize w:val="1"/>
      <w:tblStyleColBandSize w:val="1"/>
      <w:tblInd w:w="0" w:type="dxa"/>
      <w:tblBorders>
        <w:top w:val="single" w:sz="4" w:space="0" w:color="4F81BD"/>
        <w:bottom w:val="single" w:sz="4" w:space="0" w:color="4F81BD"/>
      </w:tblBorders>
      <w:tblCellMar>
        <w:top w:w="0" w:type="dxa"/>
        <w:left w:w="0" w:type="dxa"/>
        <w:bottom w:w="0" w:type="dxa"/>
        <w:right w:w="0" w:type="dxa"/>
      </w:tblCellMar>
    </w:tblPr>
  </w:style>
  <w:style w:type="table" w:customStyle="1" w:styleId="ListTable6Colorful-Accent2">
    <w:name w:val="List Table 6 Colorful - Accent 2"/>
    <w:uiPriority w:val="99"/>
    <w:rPr>
      <w:lang w:eastAsia="zh-CN"/>
    </w:rPr>
    <w:tblPr>
      <w:tblStyleRowBandSize w:val="1"/>
      <w:tblStyleColBandSize w:val="1"/>
      <w:tblInd w:w="0" w:type="dxa"/>
      <w:tblBorders>
        <w:top w:val="single" w:sz="4" w:space="0" w:color="D99695"/>
        <w:bottom w:val="single" w:sz="4" w:space="0" w:color="D99695"/>
      </w:tblBorders>
      <w:tblCellMar>
        <w:top w:w="0" w:type="dxa"/>
        <w:left w:w="0" w:type="dxa"/>
        <w:bottom w:w="0" w:type="dxa"/>
        <w:right w:w="0" w:type="dxa"/>
      </w:tblCellMar>
    </w:tblPr>
  </w:style>
  <w:style w:type="table" w:customStyle="1" w:styleId="ListTable6Colorful-Accent3">
    <w:name w:val="List Table 6 Colorful - Accent 3"/>
    <w:uiPriority w:val="99"/>
    <w:rPr>
      <w:lang w:eastAsia="zh-CN"/>
    </w:rPr>
    <w:tblPr>
      <w:tblStyleRowBandSize w:val="1"/>
      <w:tblStyleColBandSize w:val="1"/>
      <w:tblInd w:w="0" w:type="dxa"/>
      <w:tblBorders>
        <w:top w:val="single" w:sz="4" w:space="0" w:color="C3D69B"/>
        <w:bottom w:val="single" w:sz="4" w:space="0" w:color="C3D69B"/>
      </w:tblBorders>
      <w:tblCellMar>
        <w:top w:w="0" w:type="dxa"/>
        <w:left w:w="0" w:type="dxa"/>
        <w:bottom w:w="0" w:type="dxa"/>
        <w:right w:w="0" w:type="dxa"/>
      </w:tblCellMar>
    </w:tblPr>
  </w:style>
  <w:style w:type="table" w:customStyle="1" w:styleId="ListTable6Colorful-Accent4">
    <w:name w:val="List Table 6 Colorful - Accent 4"/>
    <w:uiPriority w:val="99"/>
    <w:rPr>
      <w:lang w:eastAsia="zh-CN"/>
    </w:rPr>
    <w:tblPr>
      <w:tblStyleRowBandSize w:val="1"/>
      <w:tblStyleColBandSize w:val="1"/>
      <w:tblInd w:w="0" w:type="dxa"/>
      <w:tblBorders>
        <w:top w:val="single" w:sz="4" w:space="0" w:color="B2A1C6"/>
        <w:bottom w:val="single" w:sz="4" w:space="0" w:color="B2A1C6"/>
      </w:tblBorders>
      <w:tblCellMar>
        <w:top w:w="0" w:type="dxa"/>
        <w:left w:w="0" w:type="dxa"/>
        <w:bottom w:w="0" w:type="dxa"/>
        <w:right w:w="0" w:type="dxa"/>
      </w:tblCellMar>
    </w:tblPr>
  </w:style>
  <w:style w:type="table" w:customStyle="1" w:styleId="ListTable6Colorful-Accent5">
    <w:name w:val="List Table 6 Colorful - Accent 5"/>
    <w:uiPriority w:val="99"/>
    <w:rPr>
      <w:lang w:eastAsia="zh-CN"/>
    </w:rPr>
    <w:tblPr>
      <w:tblStyleRowBandSize w:val="1"/>
      <w:tblStyleColBandSize w:val="1"/>
      <w:tblInd w:w="0" w:type="dxa"/>
      <w:tblBorders>
        <w:top w:val="single" w:sz="4" w:space="0" w:color="92CCDC"/>
        <w:bottom w:val="single" w:sz="4" w:space="0" w:color="92CCDC"/>
      </w:tblBorders>
      <w:tblCellMar>
        <w:top w:w="0" w:type="dxa"/>
        <w:left w:w="0" w:type="dxa"/>
        <w:bottom w:w="0" w:type="dxa"/>
        <w:right w:w="0" w:type="dxa"/>
      </w:tblCellMar>
    </w:tblPr>
  </w:style>
  <w:style w:type="table" w:customStyle="1" w:styleId="ListTable6Colorful-Accent6">
    <w:name w:val="List Table 6 Colorful - Accent 6"/>
    <w:uiPriority w:val="99"/>
    <w:rPr>
      <w:lang w:eastAsia="zh-CN"/>
    </w:rPr>
    <w:tblPr>
      <w:tblStyleRowBandSize w:val="1"/>
      <w:tblStyleColBandSize w:val="1"/>
      <w:tblInd w:w="0" w:type="dxa"/>
      <w:tblBorders>
        <w:top w:val="single" w:sz="4" w:space="0" w:color="FAC090"/>
        <w:bottom w:val="single" w:sz="4" w:space="0" w:color="FAC090"/>
      </w:tblBorders>
      <w:tblCellMar>
        <w:top w:w="0" w:type="dxa"/>
        <w:left w:w="0" w:type="dxa"/>
        <w:bottom w:w="0" w:type="dxa"/>
        <w:right w:w="0" w:type="dxa"/>
      </w:tblCellMar>
    </w:tblPr>
  </w:style>
  <w:style w:type="table" w:styleId="-70">
    <w:name w:val="List Table 7 Colorful"/>
    <w:uiPriority w:val="99"/>
    <w:rPr>
      <w:lang w:eastAsia="zh-CN"/>
    </w:rPr>
    <w:tblPr>
      <w:tblStyleRowBandSize w:val="1"/>
      <w:tblStyleColBandSize w:val="1"/>
      <w:tblInd w:w="0" w:type="dxa"/>
      <w:tblBorders>
        <w:right w:val="single" w:sz="4" w:space="0" w:color="7F7F7F"/>
      </w:tblBorders>
      <w:tblCellMar>
        <w:top w:w="0" w:type="dxa"/>
        <w:left w:w="0" w:type="dxa"/>
        <w:bottom w:w="0" w:type="dxa"/>
        <w:right w:w="0" w:type="dxa"/>
      </w:tblCellMar>
    </w:tblPr>
  </w:style>
  <w:style w:type="table" w:customStyle="1" w:styleId="ListTable7Colorful-Accent1">
    <w:name w:val="List Table 7 Colorful - Accent 1"/>
    <w:uiPriority w:val="99"/>
    <w:rPr>
      <w:lang w:eastAsia="zh-CN"/>
    </w:rPr>
    <w:tblPr>
      <w:tblStyleRowBandSize w:val="1"/>
      <w:tblStyleColBandSize w:val="1"/>
      <w:tblInd w:w="0" w:type="dxa"/>
      <w:tblBorders>
        <w:right w:val="single" w:sz="4" w:space="0" w:color="4F81BD"/>
      </w:tblBorders>
      <w:tblCellMar>
        <w:top w:w="0" w:type="dxa"/>
        <w:left w:w="0" w:type="dxa"/>
        <w:bottom w:w="0" w:type="dxa"/>
        <w:right w:w="0" w:type="dxa"/>
      </w:tblCellMar>
    </w:tblPr>
  </w:style>
  <w:style w:type="table" w:customStyle="1" w:styleId="ListTable7Colorful-Accent2">
    <w:name w:val="List Table 7 Colorful - Accent 2"/>
    <w:uiPriority w:val="99"/>
    <w:rPr>
      <w:lang w:eastAsia="zh-CN"/>
    </w:rPr>
    <w:tblPr>
      <w:tblStyleRowBandSize w:val="1"/>
      <w:tblStyleColBandSize w:val="1"/>
      <w:tblInd w:w="0" w:type="dxa"/>
      <w:tblBorders>
        <w:right w:val="single" w:sz="4" w:space="0" w:color="D99695"/>
      </w:tblBorders>
      <w:tblCellMar>
        <w:top w:w="0" w:type="dxa"/>
        <w:left w:w="0" w:type="dxa"/>
        <w:bottom w:w="0" w:type="dxa"/>
        <w:right w:w="0" w:type="dxa"/>
      </w:tblCellMar>
    </w:tblPr>
  </w:style>
  <w:style w:type="table" w:customStyle="1" w:styleId="ListTable7Colorful-Accent3">
    <w:name w:val="List Table 7 Colorful - Accent 3"/>
    <w:uiPriority w:val="99"/>
    <w:rPr>
      <w:lang w:eastAsia="zh-CN"/>
    </w:rPr>
    <w:tblPr>
      <w:tblStyleRowBandSize w:val="1"/>
      <w:tblStyleColBandSize w:val="1"/>
      <w:tblInd w:w="0" w:type="dxa"/>
      <w:tblBorders>
        <w:right w:val="single" w:sz="4" w:space="0" w:color="C3D69B"/>
      </w:tblBorders>
      <w:tblCellMar>
        <w:top w:w="0" w:type="dxa"/>
        <w:left w:w="0" w:type="dxa"/>
        <w:bottom w:w="0" w:type="dxa"/>
        <w:right w:w="0" w:type="dxa"/>
      </w:tblCellMar>
    </w:tblPr>
  </w:style>
  <w:style w:type="table" w:customStyle="1" w:styleId="ListTable7Colorful-Accent4">
    <w:name w:val="List Table 7 Colorful - Accent 4"/>
    <w:uiPriority w:val="99"/>
    <w:rPr>
      <w:lang w:eastAsia="zh-CN"/>
    </w:rPr>
    <w:tblPr>
      <w:tblStyleRowBandSize w:val="1"/>
      <w:tblStyleColBandSize w:val="1"/>
      <w:tblInd w:w="0" w:type="dxa"/>
      <w:tblBorders>
        <w:right w:val="single" w:sz="4" w:space="0" w:color="B2A1C6"/>
      </w:tblBorders>
      <w:tblCellMar>
        <w:top w:w="0" w:type="dxa"/>
        <w:left w:w="0" w:type="dxa"/>
        <w:bottom w:w="0" w:type="dxa"/>
        <w:right w:w="0" w:type="dxa"/>
      </w:tblCellMar>
    </w:tblPr>
  </w:style>
  <w:style w:type="table" w:customStyle="1" w:styleId="ListTable7Colorful-Accent5">
    <w:name w:val="List Table 7 Colorful - Accent 5"/>
    <w:uiPriority w:val="99"/>
    <w:rPr>
      <w:lang w:eastAsia="zh-CN"/>
    </w:rPr>
    <w:tblPr>
      <w:tblStyleRowBandSize w:val="1"/>
      <w:tblStyleColBandSize w:val="1"/>
      <w:tblInd w:w="0" w:type="dxa"/>
      <w:tblBorders>
        <w:right w:val="single" w:sz="4" w:space="0" w:color="92CCDC"/>
      </w:tblBorders>
      <w:tblCellMar>
        <w:top w:w="0" w:type="dxa"/>
        <w:left w:w="0" w:type="dxa"/>
        <w:bottom w:w="0" w:type="dxa"/>
        <w:right w:w="0" w:type="dxa"/>
      </w:tblCellMar>
    </w:tblPr>
  </w:style>
  <w:style w:type="table" w:customStyle="1" w:styleId="ListTable7Colorful-Accent6">
    <w:name w:val="List Table 7 Colorful - Accent 6"/>
    <w:uiPriority w:val="99"/>
    <w:rPr>
      <w:lang w:eastAsia="zh-CN"/>
    </w:rPr>
    <w:tblPr>
      <w:tblStyleRowBandSize w:val="1"/>
      <w:tblStyleColBandSize w:val="1"/>
      <w:tblInd w:w="0" w:type="dxa"/>
      <w:tblBorders>
        <w:right w:val="single" w:sz="4" w:space="0" w:color="FAC090"/>
      </w:tblBorders>
      <w:tblCellMar>
        <w:top w:w="0" w:type="dxa"/>
        <w:left w:w="0" w:type="dxa"/>
        <w:bottom w:w="0" w:type="dxa"/>
        <w:right w:w="0" w:type="dxa"/>
      </w:tblCellMar>
    </w:tblPr>
  </w:style>
  <w:style w:type="table" w:customStyle="1" w:styleId="Lined-Accent">
    <w:name w:val="Lined - Accent"/>
    <w:uiPriority w:val="99"/>
    <w:rPr>
      <w:color w:val="404040"/>
    </w:rPr>
    <w:tblPr>
      <w:tblStyleRowBandSize w:val="1"/>
      <w:tblStyleColBandSize w:val="1"/>
      <w:tblInd w:w="0" w:type="dxa"/>
      <w:tblCellMar>
        <w:top w:w="0" w:type="dxa"/>
        <w:left w:w="0" w:type="dxa"/>
        <w:bottom w:w="0" w:type="dxa"/>
        <w:right w:w="0" w:type="dxa"/>
      </w:tblCellMar>
    </w:tblPr>
  </w:style>
  <w:style w:type="table" w:customStyle="1" w:styleId="Lined-Accent1">
    <w:name w:val="Lined - Accent 1"/>
    <w:uiPriority w:val="99"/>
    <w:rPr>
      <w:color w:val="404040"/>
    </w:rPr>
    <w:tblPr>
      <w:tblStyleRowBandSize w:val="1"/>
      <w:tblStyleColBandSize w:val="1"/>
      <w:tblInd w:w="0" w:type="dxa"/>
      <w:tblCellMar>
        <w:top w:w="0" w:type="dxa"/>
        <w:left w:w="0" w:type="dxa"/>
        <w:bottom w:w="0" w:type="dxa"/>
        <w:right w:w="0" w:type="dxa"/>
      </w:tblCellMar>
    </w:tblPr>
  </w:style>
  <w:style w:type="table" w:customStyle="1" w:styleId="Lined-Accent2">
    <w:name w:val="Lined - Accent 2"/>
    <w:uiPriority w:val="99"/>
    <w:rPr>
      <w:color w:val="404040"/>
    </w:rPr>
    <w:tblPr>
      <w:tblStyleRowBandSize w:val="1"/>
      <w:tblStyleColBandSize w:val="1"/>
      <w:tblInd w:w="0" w:type="dxa"/>
      <w:tblCellMar>
        <w:top w:w="0" w:type="dxa"/>
        <w:left w:w="0" w:type="dxa"/>
        <w:bottom w:w="0" w:type="dxa"/>
        <w:right w:w="0" w:type="dxa"/>
      </w:tblCellMar>
    </w:tblPr>
  </w:style>
  <w:style w:type="table" w:customStyle="1" w:styleId="Lined-Accent3">
    <w:name w:val="Lined - Accent 3"/>
    <w:uiPriority w:val="99"/>
    <w:rPr>
      <w:color w:val="404040"/>
    </w:rPr>
    <w:tblPr>
      <w:tblStyleRowBandSize w:val="1"/>
      <w:tblStyleColBandSize w:val="1"/>
      <w:tblInd w:w="0" w:type="dxa"/>
      <w:tblCellMar>
        <w:top w:w="0" w:type="dxa"/>
        <w:left w:w="0" w:type="dxa"/>
        <w:bottom w:w="0" w:type="dxa"/>
        <w:right w:w="0" w:type="dxa"/>
      </w:tblCellMar>
    </w:tblPr>
  </w:style>
  <w:style w:type="table" w:customStyle="1" w:styleId="Lined-Accent4">
    <w:name w:val="Lined - Accent 4"/>
    <w:uiPriority w:val="99"/>
    <w:rPr>
      <w:color w:val="404040"/>
    </w:rPr>
    <w:tblPr>
      <w:tblStyleRowBandSize w:val="1"/>
      <w:tblStyleColBandSize w:val="1"/>
      <w:tblInd w:w="0" w:type="dxa"/>
      <w:tblCellMar>
        <w:top w:w="0" w:type="dxa"/>
        <w:left w:w="0" w:type="dxa"/>
        <w:bottom w:w="0" w:type="dxa"/>
        <w:right w:w="0" w:type="dxa"/>
      </w:tblCellMar>
    </w:tblPr>
  </w:style>
  <w:style w:type="table" w:customStyle="1" w:styleId="Lined-Accent5">
    <w:name w:val="Lined - Accent 5"/>
    <w:uiPriority w:val="99"/>
    <w:rPr>
      <w:color w:val="404040"/>
    </w:rPr>
    <w:tblPr>
      <w:tblStyleRowBandSize w:val="1"/>
      <w:tblStyleColBandSize w:val="1"/>
      <w:tblInd w:w="0" w:type="dxa"/>
      <w:tblCellMar>
        <w:top w:w="0" w:type="dxa"/>
        <w:left w:w="0" w:type="dxa"/>
        <w:bottom w:w="0" w:type="dxa"/>
        <w:right w:w="0" w:type="dxa"/>
      </w:tblCellMar>
    </w:tblPr>
  </w:style>
  <w:style w:type="table" w:customStyle="1" w:styleId="Lined-Accent6">
    <w:name w:val="Lined - Accent 6"/>
    <w:uiPriority w:val="99"/>
    <w:rPr>
      <w:color w:val="404040"/>
    </w:rPr>
    <w:tblPr>
      <w:tblStyleRowBandSize w:val="1"/>
      <w:tblStyleColBandSize w:val="1"/>
      <w:tblInd w:w="0" w:type="dxa"/>
      <w:tblCellMar>
        <w:top w:w="0" w:type="dxa"/>
        <w:left w:w="0" w:type="dxa"/>
        <w:bottom w:w="0" w:type="dxa"/>
        <w:right w:w="0" w:type="dxa"/>
      </w:tblCellMar>
    </w:tblPr>
  </w:style>
  <w:style w:type="table" w:customStyle="1" w:styleId="BorderedLined-Accent">
    <w:name w:val="Bordered &amp; Lined - Accent"/>
    <w:uiPriority w:val="99"/>
    <w:rPr>
      <w:color w:val="404040"/>
    </w:rPr>
    <w:tblPr>
      <w:tblStyleRowBandSize w:val="1"/>
      <w:tblStyleColBandSize w:val="1"/>
      <w:tblInd w:w="0" w:type="dxa"/>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0" w:type="dxa"/>
        <w:left w:w="0" w:type="dxa"/>
        <w:bottom w:w="0" w:type="dxa"/>
        <w:right w:w="0" w:type="dxa"/>
      </w:tblCellMar>
    </w:tblPr>
  </w:style>
  <w:style w:type="table" w:customStyle="1" w:styleId="BorderedLined-Accent1">
    <w:name w:val="Bordered &amp; Lined - Accent 1"/>
    <w:uiPriority w:val="99"/>
    <w:rPr>
      <w:color w:val="404040"/>
    </w:rPr>
    <w:tblPr>
      <w:tblStyleRowBandSize w:val="1"/>
      <w:tblStyleColBandSize w:val="1"/>
      <w:tblInd w:w="0" w:type="dxa"/>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CellMar>
        <w:top w:w="0" w:type="dxa"/>
        <w:left w:w="0" w:type="dxa"/>
        <w:bottom w:w="0" w:type="dxa"/>
        <w:right w:w="0" w:type="dxa"/>
      </w:tblCellMar>
    </w:tblPr>
  </w:style>
  <w:style w:type="table" w:customStyle="1" w:styleId="BorderedLined-Accent2">
    <w:name w:val="Bordered &amp; Lined - Accent 2"/>
    <w:uiPriority w:val="99"/>
    <w:rPr>
      <w:color w:val="404040"/>
    </w:rPr>
    <w:tblPr>
      <w:tblStyleRowBandSize w:val="1"/>
      <w:tblStyleColBandSize w:val="1"/>
      <w:tblInd w:w="0" w:type="dxa"/>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CellMar>
        <w:top w:w="0" w:type="dxa"/>
        <w:left w:w="0" w:type="dxa"/>
        <w:bottom w:w="0" w:type="dxa"/>
        <w:right w:w="0" w:type="dxa"/>
      </w:tblCellMar>
    </w:tblPr>
  </w:style>
  <w:style w:type="table" w:customStyle="1" w:styleId="BorderedLined-Accent3">
    <w:name w:val="Bordered &amp; Lined - Accent 3"/>
    <w:uiPriority w:val="99"/>
    <w:rPr>
      <w:color w:val="404040"/>
    </w:rPr>
    <w:tblPr>
      <w:tblStyleRowBandSize w:val="1"/>
      <w:tblStyleColBandSize w:val="1"/>
      <w:tblInd w:w="0" w:type="dxa"/>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CellMar>
        <w:top w:w="0" w:type="dxa"/>
        <w:left w:w="0" w:type="dxa"/>
        <w:bottom w:w="0" w:type="dxa"/>
        <w:right w:w="0" w:type="dxa"/>
      </w:tblCellMar>
    </w:tblPr>
  </w:style>
  <w:style w:type="table" w:customStyle="1" w:styleId="BorderedLined-Accent4">
    <w:name w:val="Bordered &amp; Lined - Accent 4"/>
    <w:uiPriority w:val="99"/>
    <w:rPr>
      <w:color w:val="404040"/>
    </w:rPr>
    <w:tblPr>
      <w:tblStyleRowBandSize w:val="1"/>
      <w:tblStyleColBandSize w:val="1"/>
      <w:tblInd w:w="0" w:type="dxa"/>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CellMar>
        <w:top w:w="0" w:type="dxa"/>
        <w:left w:w="0" w:type="dxa"/>
        <w:bottom w:w="0" w:type="dxa"/>
        <w:right w:w="0" w:type="dxa"/>
      </w:tblCellMar>
    </w:tblPr>
  </w:style>
  <w:style w:type="table" w:customStyle="1" w:styleId="BorderedLined-Accent5">
    <w:name w:val="Bordered &amp; Lined - Accent 5"/>
    <w:uiPriority w:val="99"/>
    <w:rPr>
      <w:color w:val="404040"/>
    </w:rPr>
    <w:tblPr>
      <w:tblStyleRowBandSize w:val="1"/>
      <w:tblStyleColBandSize w:val="1"/>
      <w:tblInd w:w="0" w:type="dxa"/>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CellMar>
        <w:top w:w="0" w:type="dxa"/>
        <w:left w:w="0" w:type="dxa"/>
        <w:bottom w:w="0" w:type="dxa"/>
        <w:right w:w="0" w:type="dxa"/>
      </w:tblCellMar>
    </w:tblPr>
  </w:style>
  <w:style w:type="table" w:customStyle="1" w:styleId="BorderedLined-Accent6">
    <w:name w:val="Bordered &amp; Lined - Accent 6"/>
    <w:uiPriority w:val="99"/>
    <w:rPr>
      <w:color w:val="404040"/>
    </w:rPr>
    <w:tblPr>
      <w:tblStyleRowBandSize w:val="1"/>
      <w:tblStyleColBandSize w:val="1"/>
      <w:tblInd w:w="0" w:type="dxa"/>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CellMar>
        <w:top w:w="0" w:type="dxa"/>
        <w:left w:w="0" w:type="dxa"/>
        <w:bottom w:w="0" w:type="dxa"/>
        <w:right w:w="0" w:type="dxa"/>
      </w:tblCellMar>
    </w:tblPr>
  </w:style>
  <w:style w:type="table" w:customStyle="1" w:styleId="Bordered">
    <w:name w:val="Bordered"/>
    <w:uiPriority w:val="99"/>
    <w:rPr>
      <w:lang w:eastAsia="zh-CN"/>
    </w:rPr>
    <w:tblPr>
      <w:tblStyleRowBandSize w:val="1"/>
      <w:tblStyleColBandSize w:val="1"/>
      <w:tblInd w:w="0"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0" w:type="dxa"/>
        <w:left w:w="0" w:type="dxa"/>
        <w:bottom w:w="0" w:type="dxa"/>
        <w:right w:w="0" w:type="dxa"/>
      </w:tblCellMar>
    </w:tblPr>
  </w:style>
  <w:style w:type="table" w:customStyle="1" w:styleId="Bordered-Accent1">
    <w:name w:val="Bordered - Accent 1"/>
    <w:uiPriority w:val="99"/>
    <w:rPr>
      <w:lang w:eastAsia="zh-CN"/>
    </w:rPr>
    <w:tblPr>
      <w:tblStyleRowBandSize w:val="1"/>
      <w:tblStyleColBandSize w:val="1"/>
      <w:tblInd w:w="0" w:type="dxa"/>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style>
  <w:style w:type="table" w:customStyle="1" w:styleId="Bordered-Accent2">
    <w:name w:val="Bordered - Accent 2"/>
    <w:uiPriority w:val="99"/>
    <w:rPr>
      <w:lang w:eastAsia="zh-CN"/>
    </w:rPr>
    <w:tblPr>
      <w:tblStyleRowBandSize w:val="1"/>
      <w:tblStyleColBandSize w:val="1"/>
      <w:tblInd w:w="0" w:type="dxa"/>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style>
  <w:style w:type="table" w:customStyle="1" w:styleId="Bordered-Accent3">
    <w:name w:val="Bordered - Accent 3"/>
    <w:uiPriority w:val="99"/>
    <w:rPr>
      <w:lang w:eastAsia="zh-CN"/>
    </w:rPr>
    <w:tblPr>
      <w:tblStyleRowBandSize w:val="1"/>
      <w:tblStyleColBandSize w:val="1"/>
      <w:tblInd w:w="0" w:type="dxa"/>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style>
  <w:style w:type="table" w:customStyle="1" w:styleId="Bordered-Accent4">
    <w:name w:val="Bordered - Accent 4"/>
    <w:uiPriority w:val="99"/>
    <w:rPr>
      <w:lang w:eastAsia="zh-CN"/>
    </w:rPr>
    <w:tblPr>
      <w:tblStyleRowBandSize w:val="1"/>
      <w:tblStyleColBandSize w:val="1"/>
      <w:tblInd w:w="0" w:type="dxa"/>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style>
  <w:style w:type="table" w:customStyle="1" w:styleId="Bordered-Accent5">
    <w:name w:val="Bordered - Accent 5"/>
    <w:uiPriority w:val="99"/>
    <w:rPr>
      <w:lang w:eastAsia="zh-CN"/>
    </w:rPr>
    <w:tblPr>
      <w:tblStyleRowBandSize w:val="1"/>
      <w:tblStyleColBandSize w:val="1"/>
      <w:tblInd w:w="0" w:type="dxa"/>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style>
  <w:style w:type="table" w:customStyle="1" w:styleId="Bordered-Accent6">
    <w:name w:val="Bordered - Accent 6"/>
    <w:uiPriority w:val="99"/>
    <w:rPr>
      <w:lang w:eastAsia="zh-CN"/>
    </w:rPr>
    <w:tblPr>
      <w:tblStyleRowBandSize w:val="1"/>
      <w:tblStyleColBandSize w:val="1"/>
      <w:tblInd w:w="0" w:type="dxa"/>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style>
  <w:style w:type="character" w:styleId="af1">
    <w:name w:val="Hyperlink"/>
    <w:rPr>
      <w:color w:val="0000FF"/>
      <w:u w:val="single"/>
    </w:rPr>
  </w:style>
  <w:style w:type="paragraph" w:styleId="af2">
    <w:name w:val="footnote text"/>
    <w:basedOn w:val="a"/>
    <w:link w:val="af3"/>
    <w:uiPriority w:val="99"/>
    <w:semiHidden/>
    <w:unhideWhenUsed/>
    <w:pPr>
      <w:spacing w:after="40"/>
    </w:pPr>
    <w:rPr>
      <w:sz w:val="18"/>
    </w:rPr>
  </w:style>
  <w:style w:type="character" w:customStyle="1" w:styleId="af3">
    <w:name w:val="Текст сноски Знак"/>
    <w:link w:val="af2"/>
    <w:uiPriority w:val="99"/>
    <w:rPr>
      <w:sz w:val="18"/>
    </w:rPr>
  </w:style>
  <w:style w:type="character" w:styleId="af4">
    <w:name w:val="footnote reference"/>
    <w:uiPriority w:val="99"/>
    <w:unhideWhenUsed/>
    <w:rPr>
      <w:vertAlign w:val="superscript"/>
    </w:rPr>
  </w:style>
  <w:style w:type="paragraph" w:styleId="af5">
    <w:name w:val="endnote text"/>
    <w:basedOn w:val="a"/>
    <w:link w:val="af6"/>
    <w:uiPriority w:val="99"/>
    <w:semiHidden/>
    <w:unhideWhenUsed/>
    <w:rPr>
      <w:sz w:val="20"/>
    </w:rPr>
  </w:style>
  <w:style w:type="character" w:customStyle="1" w:styleId="af6">
    <w:name w:val="Текст концевой сноски Знак"/>
    <w:link w:val="af5"/>
    <w:uiPriority w:val="99"/>
    <w:rPr>
      <w:sz w:val="20"/>
    </w:rPr>
  </w:style>
  <w:style w:type="character" w:styleId="af7">
    <w:name w:val="endnote reference"/>
    <w:uiPriority w:val="99"/>
    <w:semiHidden/>
    <w:unhideWhenUsed/>
    <w:rPr>
      <w:vertAlign w:val="superscript"/>
    </w:rPr>
  </w:style>
  <w:style w:type="paragraph" w:styleId="12">
    <w:name w:val="toc 1"/>
    <w:basedOn w:val="a"/>
    <w:next w:val="a"/>
    <w:uiPriority w:val="39"/>
    <w:unhideWhenUsed/>
    <w:pPr>
      <w:spacing w:after="57"/>
    </w:pPr>
  </w:style>
  <w:style w:type="paragraph" w:styleId="24">
    <w:name w:val="toc 2"/>
    <w:basedOn w:val="a"/>
    <w:next w:val="a"/>
    <w:uiPriority w:val="39"/>
    <w:unhideWhenUsed/>
    <w:pPr>
      <w:spacing w:after="57"/>
      <w:ind w:left="283"/>
    </w:pPr>
  </w:style>
  <w:style w:type="paragraph" w:styleId="32">
    <w:name w:val="toc 3"/>
    <w:basedOn w:val="a"/>
    <w:next w:val="a"/>
    <w:uiPriority w:val="39"/>
    <w:unhideWhenUsed/>
    <w:pPr>
      <w:spacing w:after="57"/>
      <w:ind w:left="567"/>
    </w:pPr>
  </w:style>
  <w:style w:type="paragraph" w:styleId="42">
    <w:name w:val="toc 4"/>
    <w:basedOn w:val="a"/>
    <w:next w:val="a"/>
    <w:uiPriority w:val="39"/>
    <w:unhideWhenUsed/>
    <w:pPr>
      <w:spacing w:after="57"/>
      <w:ind w:left="850"/>
    </w:pPr>
  </w:style>
  <w:style w:type="paragraph" w:styleId="52">
    <w:name w:val="toc 5"/>
    <w:basedOn w:val="a"/>
    <w:next w:val="a"/>
    <w:uiPriority w:val="39"/>
    <w:unhideWhenUsed/>
    <w:pPr>
      <w:spacing w:after="57"/>
      <w:ind w:left="1134"/>
    </w:pPr>
  </w:style>
  <w:style w:type="paragraph" w:styleId="61">
    <w:name w:val="toc 6"/>
    <w:basedOn w:val="a"/>
    <w:next w:val="a"/>
    <w:uiPriority w:val="39"/>
    <w:unhideWhenUsed/>
    <w:pPr>
      <w:spacing w:after="57"/>
      <w:ind w:left="1417"/>
    </w:pPr>
  </w:style>
  <w:style w:type="paragraph" w:styleId="71">
    <w:name w:val="toc 7"/>
    <w:basedOn w:val="a"/>
    <w:next w:val="a"/>
    <w:uiPriority w:val="39"/>
    <w:unhideWhenUsed/>
    <w:pPr>
      <w:spacing w:after="57"/>
      <w:ind w:left="1701"/>
    </w:pPr>
  </w:style>
  <w:style w:type="paragraph" w:styleId="81">
    <w:name w:val="toc 8"/>
    <w:basedOn w:val="a"/>
    <w:next w:val="a"/>
    <w:uiPriority w:val="39"/>
    <w:unhideWhenUsed/>
    <w:pPr>
      <w:spacing w:after="57"/>
      <w:ind w:left="1984"/>
    </w:pPr>
  </w:style>
  <w:style w:type="paragraph" w:styleId="91">
    <w:name w:val="toc 9"/>
    <w:basedOn w:val="a"/>
    <w:next w:val="a"/>
    <w:uiPriority w:val="39"/>
    <w:unhideWhenUsed/>
    <w:pPr>
      <w:spacing w:after="57"/>
      <w:ind w:left="2268"/>
    </w:pPr>
  </w:style>
  <w:style w:type="paragraph" w:styleId="af8">
    <w:name w:val="TOC Heading"/>
    <w:uiPriority w:val="39"/>
    <w:unhideWhenUsed/>
    <w:rPr>
      <w:lang w:eastAsia="zh-CN"/>
    </w:rPr>
  </w:style>
  <w:style w:type="paragraph" w:styleId="af9">
    <w:name w:val="table of figures"/>
    <w:basedOn w:val="a"/>
    <w:next w:val="a"/>
    <w:uiPriority w:val="99"/>
    <w:unhideWhenUsed/>
  </w:style>
  <w:style w:type="paragraph" w:styleId="afa">
    <w:name w:val="Balloon Text"/>
    <w:basedOn w:val="a"/>
    <w:semiHidden/>
    <w:rPr>
      <w:rFonts w:ascii="Tahoma" w:hAnsi="Tahoma" w:cs="Tahoma"/>
      <w:sz w:val="16"/>
      <w:szCs w:val="16"/>
    </w:rPr>
  </w:style>
  <w:style w:type="paragraph" w:styleId="afb">
    <w:name w:val="Body Text Indent"/>
    <w:basedOn w:val="a"/>
    <w:pPr>
      <w:spacing w:before="2400"/>
      <w:ind w:left="6481"/>
    </w:pPr>
    <w:rPr>
      <w:sz w:val="28"/>
      <w:szCs w:val="20"/>
    </w:rPr>
  </w:style>
  <w:style w:type="paragraph" w:styleId="afc">
    <w:name w:val="Body Text"/>
    <w:basedOn w:val="a"/>
    <w:pPr>
      <w:spacing w:after="120"/>
    </w:pPr>
  </w:style>
  <w:style w:type="paragraph" w:styleId="afd">
    <w:name w:val="Normal (Web)"/>
    <w:aliases w:val="Обычный (веб)1,Обычный (веб) Знак,Обычный (веб) Знак1,Обычный (веб) Знак Знак,Обычный (Web),Обычный (Web) Знак Знак Знак,Обычный (Web)1,Обычный (веб) Знак Знак Знак,Обычный (веб) Знак2,Обычный (веб) Знак Знак1,Обычный (веб) Знак1 Знак"/>
    <w:basedOn w:val="a"/>
    <w:link w:val="33"/>
    <w:pPr>
      <w:spacing w:before="100" w:beforeAutospacing="1" w:after="100" w:afterAutospacing="1"/>
    </w:pPr>
  </w:style>
  <w:style w:type="character" w:customStyle="1" w:styleId="apple-converted-space">
    <w:name w:val="apple-converted-space"/>
    <w:basedOn w:val="a0"/>
  </w:style>
  <w:style w:type="character" w:customStyle="1" w:styleId="visited">
    <w:name w:val="visited"/>
    <w:basedOn w:val="a0"/>
  </w:style>
  <w:style w:type="character" w:customStyle="1" w:styleId="blk">
    <w:name w:val="blk"/>
    <w:basedOn w:val="a0"/>
  </w:style>
  <w:style w:type="character" w:customStyle="1" w:styleId="match">
    <w:name w:val="match"/>
    <w:basedOn w:val="a0"/>
  </w:style>
  <w:style w:type="paragraph" w:customStyle="1" w:styleId="formattexttopleveltext">
    <w:name w:val="formattext topleveltext"/>
    <w:basedOn w:val="a"/>
    <w:pPr>
      <w:spacing w:before="100" w:beforeAutospacing="1" w:after="100" w:afterAutospacing="1"/>
    </w:pPr>
  </w:style>
  <w:style w:type="paragraph" w:styleId="25">
    <w:name w:val="Body Text Indent 2"/>
    <w:basedOn w:val="a"/>
    <w:pPr>
      <w:spacing w:after="120" w:line="480" w:lineRule="auto"/>
      <w:ind w:left="283"/>
    </w:pPr>
  </w:style>
  <w:style w:type="paragraph" w:customStyle="1" w:styleId="ConsPlusNormal">
    <w:name w:val="ConsPlusNormal"/>
    <w:link w:val="ConsPlusNormal0"/>
    <w:rPr>
      <w:sz w:val="26"/>
      <w:szCs w:val="26"/>
    </w:rPr>
  </w:style>
  <w:style w:type="paragraph" w:customStyle="1" w:styleId="afe">
    <w:name w:val="Знак Знак Знак Знак Знак Знак Знак Знак Знак Знак Знак Знак"/>
    <w:basedOn w:val="a"/>
    <w:pPr>
      <w:spacing w:before="100" w:beforeAutospacing="1" w:after="100" w:afterAutospacing="1"/>
      <w:jc w:val="both"/>
    </w:pPr>
    <w:rPr>
      <w:rFonts w:ascii="Tahoma" w:hAnsi="Tahoma"/>
      <w:sz w:val="20"/>
      <w:szCs w:val="20"/>
      <w:lang w:val="en-US" w:eastAsia="en-US"/>
    </w:rPr>
  </w:style>
  <w:style w:type="character" w:customStyle="1" w:styleId="ConsPlusNormal0">
    <w:name w:val="ConsPlusNormal Знак"/>
    <w:link w:val="ConsPlusNormal"/>
    <w:rPr>
      <w:sz w:val="26"/>
      <w:szCs w:val="26"/>
      <w:lang w:val="ru-RU" w:eastAsia="ru-RU" w:bidi="ar-SA"/>
    </w:rPr>
  </w:style>
  <w:style w:type="paragraph" w:customStyle="1" w:styleId="aff">
    <w:name w:val="Название"/>
    <w:basedOn w:val="a"/>
    <w:link w:val="aff0"/>
    <w:qFormat/>
    <w:pPr>
      <w:ind w:firstLine="709"/>
      <w:jc w:val="center"/>
    </w:pPr>
    <w:rPr>
      <w:b/>
      <w:szCs w:val="20"/>
    </w:rPr>
  </w:style>
  <w:style w:type="character" w:customStyle="1" w:styleId="aff0">
    <w:name w:val="Название Знак"/>
    <w:link w:val="aff"/>
    <w:rPr>
      <w:b/>
      <w:sz w:val="24"/>
      <w:lang w:val="ru-RU" w:eastAsia="ru-RU" w:bidi="ar-SA"/>
    </w:rPr>
  </w:style>
  <w:style w:type="character" w:styleId="aff1">
    <w:name w:val="Strong"/>
    <w:uiPriority w:val="22"/>
    <w:qFormat/>
    <w:rPr>
      <w:b/>
      <w:bCs/>
    </w:rPr>
  </w:style>
  <w:style w:type="character" w:styleId="aff2">
    <w:name w:val="Emphasis"/>
    <w:uiPriority w:val="20"/>
    <w:qFormat/>
    <w:rPr>
      <w:i/>
      <w:iCs/>
    </w:rPr>
  </w:style>
  <w:style w:type="paragraph" w:customStyle="1" w:styleId="Standard">
    <w:name w:val="Standard"/>
    <w:pPr>
      <w:widowControl w:val="0"/>
      <w:pBdr>
        <w:top w:val="none" w:sz="4" w:space="0" w:color="000000"/>
        <w:left w:val="none" w:sz="4" w:space="0" w:color="000000"/>
        <w:bottom w:val="none" w:sz="4" w:space="0" w:color="000000"/>
        <w:right w:val="none" w:sz="4" w:space="0" w:color="000000"/>
        <w:between w:val="none" w:sz="4" w:space="0" w:color="000000"/>
      </w:pBdr>
    </w:pPr>
    <w:rPr>
      <w:rFonts w:ascii="Liberation Serif" w:eastAsia="Segoe UI" w:hAnsi="Liberation Serif" w:cs="Tahoma"/>
      <w:color w:val="000000"/>
      <w:sz w:val="24"/>
      <w:szCs w:val="24"/>
      <w:lang w:eastAsia="zh-CN" w:bidi="hi-IN"/>
    </w:rPr>
  </w:style>
  <w:style w:type="character" w:customStyle="1" w:styleId="33">
    <w:name w:val="Обычный (веб) Знак3"/>
    <w:aliases w:val="Обычный (веб)1 Знак,Обычный (веб) Знак Знак2,Обычный (веб) Знак1 Знак1,Обычный (веб) Знак Знак Знак1,Обычный (Web) Знак,Обычный (Web) Знак Знак Знак Знак,Обычный (Web)1 Знак,Обычный (веб) Знак Знак Знак Знак,Обычный (веб) Знак2 Знак"/>
    <w:link w:val="afd"/>
    <w:locked/>
    <w:rsid w:val="004E1E4D"/>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consultant.ru/document/cons_doc_LAW_6072/" TargetMode="External"/><Relationship Id="rId13" Type="http://schemas.openxmlformats.org/officeDocument/2006/relationships/hyperlink" Target="https://www.gosuslugi.ru/" TargetMode="External"/><Relationship Id="rId18" Type="http://schemas.openxmlformats.org/officeDocument/2006/relationships/hyperlink" Target="https://rosreestr.gov.ru/" TargetMode="External"/><Relationship Id="rId3" Type="http://schemas.openxmlformats.org/officeDocument/2006/relationships/settings" Target="settings.xml"/><Relationship Id="rId21" Type="http://schemas.openxmlformats.org/officeDocument/2006/relationships/hyperlink" Target="https://dzen.ru/rosreestr_nsk" TargetMode="External"/><Relationship Id="rId7" Type="http://schemas.openxmlformats.org/officeDocument/2006/relationships/image" Target="media/image1.jpeg"/><Relationship Id="rId12" Type="http://schemas.openxmlformats.org/officeDocument/2006/relationships/hyperlink" Target="https://rosreestr.gov.ru/" TargetMode="External"/><Relationship Id="rId17" Type="http://schemas.openxmlformats.org/officeDocument/2006/relationships/hyperlink" Target="mailto:oko@r54.rosreestr.ru" TargetMode="External"/><Relationship Id="rId2" Type="http://schemas.openxmlformats.org/officeDocument/2006/relationships/styles" Target="styles.xml"/><Relationship Id="rId16" Type="http://schemas.openxmlformats.org/officeDocument/2006/relationships/hyperlink" Target="https://noti.ru/" TargetMode="External"/><Relationship Id="rId20" Type="http://schemas.openxmlformats.org/officeDocument/2006/relationships/hyperlink" Target="https://ok.ru/group/70000000987860"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kadastr.ru/services/vyezdnoe-obsluzhivanie/" TargetMode="External"/><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hyperlink" Target="https://vk.com/nsktv_ru?w=wall-38320907_95119" TargetMode="External"/><Relationship Id="rId23" Type="http://schemas.openxmlformats.org/officeDocument/2006/relationships/fontTable" Target="fontTable.xml"/><Relationship Id="rId10" Type="http://schemas.openxmlformats.org/officeDocument/2006/relationships/hyperlink" Target="https://www.mfc-nso.ru/" TargetMode="External"/><Relationship Id="rId19" Type="http://schemas.openxmlformats.org/officeDocument/2006/relationships/hyperlink" Target="https://vk.com/rosreestr_nsk" TargetMode="External"/><Relationship Id="rId4" Type="http://schemas.openxmlformats.org/officeDocument/2006/relationships/webSettings" Target="webSettings.xml"/><Relationship Id="rId9" Type="http://schemas.openxmlformats.org/officeDocument/2006/relationships/hyperlink" Target="https://nspd.gov.ru/" TargetMode="External"/><Relationship Id="rId14" Type="http://schemas.openxmlformats.org/officeDocument/2006/relationships/hyperlink" Target="https://www.nsktv.ru/news/city/vesti_novosibirsk_razobralis_v_tonkostyakh_novogo_zakona_o_neosvoennoy_zemle/" TargetMode="External"/><Relationship Id="rId22" Type="http://schemas.openxmlformats.org/officeDocument/2006/relationships/hyperlink" Target="https://t.me/rosreestr_nsk" TargetMode="External"/></Relationships>
</file>

<file path=word/theme/theme1.xml><?xml version="1.0" encoding="utf-8"?>
<a:theme xmlns:a="http://schemas.openxmlformats.org/drawingml/2006/main">
  <a:themeElements>
    <a:clrScheme nam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
      <a:majorFont>
        <a:latin typeface="Arial"/>
        <a:ea typeface="Arial"/>
        <a:cs typeface="Arial"/>
      </a:majorFont>
      <a:minorFont>
        <a:latin typeface="Arial"/>
        <a:ea typeface="Arial"/>
        <a:cs typeface="Arial"/>
      </a:minorFont>
    </a:fontScheme>
    <a:fmtSchem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a:solidFill>
            <a:schemeClr val="phClr">
              <a:shade val="95000"/>
              <a:satMod val="105000"/>
            </a:schemeClr>
          </a:solidFill>
        </a:ln>
        <a:ln w="25400">
          <a:solidFill>
            <a:schemeClr val="phClr"/>
          </a:solidFill>
        </a:ln>
        <a:ln w="38100">
          <a:solidFill>
            <a:schemeClr val="phClr"/>
          </a:solidFill>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rgbClr val="000000"/>
        </a:solidFill>
        <a:solidFill>
          <a:srgbClr val="000000"/>
        </a:soli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34</TotalTime>
  <Pages>1</Pages>
  <Words>3640</Words>
  <Characters>20753</Characters>
  <Application>Microsoft Office Word</Application>
  <DocSecurity>0</DocSecurity>
  <Lines>172</Lines>
  <Paragraphs>48</Paragraphs>
  <ScaleCrop>false</ScaleCrop>
  <HeadingPairs>
    <vt:vector size="2" baseType="variant">
      <vt:variant>
        <vt:lpstr>Название</vt:lpstr>
      </vt:variant>
      <vt:variant>
        <vt:i4>1</vt:i4>
      </vt:variant>
    </vt:vector>
  </HeadingPairs>
  <TitlesOfParts>
    <vt:vector size="1" baseType="lpstr">
      <vt:lpstr>Чтобы упростить процедуру предоставления государственных услуг, сократить ее сроки и сделать обслуживание более качественным и доступным, Управление Федеральной службы государственной регистрации, кадастра и картографии (далее - Росреестра) по Новосибирс</vt:lpstr>
    </vt:vector>
  </TitlesOfParts>
  <Company/>
  <LinksUpToDate>false</LinksUpToDate>
  <CharactersWithSpaces>24345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Чтобы упростить процедуру предоставления государственных услуг, сократить ее сроки и сделать обслуживание более качественным и доступным, Управление Федеральной службы государственной регистрации, кадастра и картографии (далее - Росреестра) по Новосибирс</dc:title>
  <dc:creator>user</dc:creator>
  <cp:lastModifiedBy>User</cp:lastModifiedBy>
  <cp:revision>323</cp:revision>
  <cp:lastPrinted>2025-06-27T04:34:00Z</cp:lastPrinted>
  <dcterms:created xsi:type="dcterms:W3CDTF">2009-04-08T02:19:00Z</dcterms:created>
  <dcterms:modified xsi:type="dcterms:W3CDTF">2025-06-27T04:34:00Z</dcterms:modified>
  <cp:version>917504</cp:version>
</cp:coreProperties>
</file>